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Klageschrift — Entwurf (Stand Juni 2025, vor Einreichung)</w:t>
      </w:r>
    </w:p>
    <w:p>
      <w:pPr>
        <w:jc w:val="left"/>
      </w:pPr>
      <w:r>
        <w:t>An das</w:t>
      </w:r>
    </w:p>
    <w:p>
      <w:pPr>
        <w:jc w:val="left"/>
      </w:pPr>
      <w:r>
        <w:t>Landgericht Hildesheim</w:t>
      </w:r>
    </w:p>
    <w:p>
      <w:pPr>
        <w:jc w:val="left"/>
      </w:pPr>
      <w:r>
        <w:t>— Zivilkammer —</w:t>
      </w:r>
    </w:p>
    <w:p>
      <w:pPr>
        <w:jc w:val="left"/>
      </w:pPr>
      <w:r>
        <w:t>Kaiserstraße 60</w:t>
      </w:r>
    </w:p>
    <w:p>
      <w:pPr>
        <w:jc w:val="left"/>
      </w:pPr>
      <w:r>
        <w:t>31134 Hildesheim</w:t>
      </w:r>
    </w:p>
    <w:p>
      <w:pPr>
        <w:jc w:val="left"/>
      </w:pPr>
      <w:r>
        <w:rPr>
          <w:b/>
        </w:rPr>
        <w:t>Klageentwurf</w:t>
      </w:r>
    </w:p>
    <w:p/>
    <w:p>
      <w:pPr>
        <w:jc w:val="left"/>
      </w:pPr>
      <w:r>
        <w:rPr>
          <w:b/>
        </w:rPr>
        <w:t>Klägerinnen:</w:t>
      </w:r>
    </w:p>
    <w:p>
      <w:pPr>
        <w:pStyle w:val="ListNumber"/>
      </w:pPr>
      <w:r>
        <w:t>Lina Meinhardt, Harzstraße 24, 31134 Hildesheim</w:t>
      </w:r>
    </w:p>
    <w:p>
      <w:pPr>
        <w:pStyle w:val="ListNumber"/>
      </w:pPr>
      <w:r>
        <w:t>Helene Meinhardt, Harzstraße 24, 31134 Hildesheim, vertreten durch ihre Mutter als gesetzliche Vertreterin Lina Meinhardt</w:t>
      </w:r>
    </w:p>
    <w:p>
      <w:pPr>
        <w:jc w:val="left"/>
      </w:pPr>
      <w:r>
        <w:rPr>
          <w:b/>
        </w:rPr>
        <w:t>Bevollmächtigte:</w:t>
      </w:r>
      <w:r>
        <w:t xml:space="preserve"> Klotzkette Rechtsanwaltsgesellschaft mbH, RAin Christina Wachhorst, Charlottenstraße 35, 10117 Berlin</w:t>
      </w:r>
    </w:p>
    <w:p>
      <w:pPr>
        <w:jc w:val="left"/>
      </w:pPr>
      <w:r>
        <w:rPr>
          <w:b/>
        </w:rPr>
        <w:t>Beklagte:</w:t>
      </w:r>
    </w:p>
    <w:p>
      <w:pPr>
        <w:pStyle w:val="ListNumber"/>
      </w:pPr>
      <w:r>
        <w:t>Evangelisches Klinikum Bad Salzdetfurth gGmbH, vertreten durch die Geschäftsführung, [Anschrift Bad Salzdetfurth]</w:t>
      </w:r>
    </w:p>
    <w:p>
      <w:pPr>
        <w:pStyle w:val="ListNumber"/>
      </w:pPr>
      <w:r>
        <w:t>Dr. Almut Voth, Oberärztin, c/o Evangelisches Klinikum Bad Salzdetfurth gGmbH</w:t>
      </w:r>
    </w:p>
    <w:p/>
    <w:p>
      <w:pPr>
        <w:pStyle w:val="Heading2"/>
      </w:pPr>
      <w:r>
        <w:rPr>
          <w:rFonts w:ascii="Times New Roman" w:hAnsi="Times New Roman"/>
        </w:rPr>
        <w:t>Klageanträge</w:t>
      </w:r>
    </w:p>
    <w:p>
      <w:pPr>
        <w:jc w:val="left"/>
      </w:pPr>
      <w:r>
        <w:t>Die Klägerinnen beantragen,</w:t>
      </w:r>
    </w:p>
    <w:p>
      <w:pPr>
        <w:jc w:val="left"/>
      </w:pPr>
      <w:r>
        <w:rPr>
          <w:b/>
        </w:rPr>
        <w:t>1.</w:t>
      </w:r>
      <w:r>
        <w:t xml:space="preserve"> die Beklagten als Gesamtschuldner zu verurteilen, an die Klägerin zu 2) (Helene Meinhardt) ein angemessenes Schmerzensgeld zu zahlen, dessen Höhe in das Ermessen des Gerichts gestellt wird, mindestens jedoch </w:t>
      </w:r>
      <w:r>
        <w:rPr>
          <w:b/>
        </w:rPr>
        <w:t>EUR 350.000,--</w:t>
      </w:r>
      <w:r>
        <w:t>, nebst Zinsen in Höhe von 5 Prozentpunkten über dem Basiszinssatz seit Rechtshängigkeit;</w:t>
      </w:r>
    </w:p>
    <w:p>
      <w:pPr>
        <w:jc w:val="left"/>
      </w:pPr>
      <w:r>
        <w:rPr>
          <w:b/>
        </w:rPr>
        <w:t>2.</w:t>
      </w:r>
      <w:r>
        <w:t xml:space="preserve"> die Beklagten als Gesamtschuldner zu verurteilen, an die Klägerin zu 1) (Lina Meinhardt) ein angemessenes Schmerzensgeld für ihre eigenen erlittenen körperlichen und seelischen Schäden zu zahlen, dessen Höhe in das Ermessen des Gerichts gestellt wird, mindestens jedoch </w:t>
      </w:r>
      <w:r>
        <w:rPr>
          <w:b/>
        </w:rPr>
        <w:t>EUR 25.000,--</w:t>
      </w:r>
      <w:r>
        <w:t>, nebst Zinsen in Höhe von 5 Prozentpunkten über dem Basiszinssatz seit Rechtshängigkeit;</w:t>
      </w:r>
    </w:p>
    <w:p>
      <w:pPr>
        <w:jc w:val="left"/>
      </w:pPr>
      <w:r>
        <w:rPr>
          <w:b/>
        </w:rPr>
        <w:t>3.</w:t>
      </w:r>
      <w:r>
        <w:t xml:space="preserve"> die Beklagte zu 1) zu verurteilen, an die Klägerin zu 2) als Ersatz des materiellen Schadens für Pflegemehraufwand und Hilfsmittelkosten August 2024 bis Mai 2025 </w:t>
      </w:r>
      <w:r>
        <w:rPr>
          <w:b/>
        </w:rPr>
        <w:t>EUR 57.800,--</w:t>
      </w:r>
      <w:r>
        <w:t xml:space="preserve"> zu zahlen, nebst Zinsen;</w:t>
      </w:r>
    </w:p>
    <w:p>
      <w:pPr>
        <w:jc w:val="left"/>
      </w:pPr>
      <w:r>
        <w:rPr>
          <w:b/>
        </w:rPr>
        <w:t>4.</w:t>
      </w:r>
      <w:r>
        <w:t xml:space="preserve"> die Beklagte zu 1) zu verurteilen, an die Klägerin zu 1) als Ersatz des Verdienstausfalls für den Zeitraum August 2024 bis März 2025 </w:t>
      </w:r>
      <w:r>
        <w:rPr>
          <w:b/>
        </w:rPr>
        <w:t>EUR 21.600,--</w:t>
      </w:r>
      <w:r>
        <w:t xml:space="preserve"> zu zahlen, nebst Zinsen;</w:t>
      </w:r>
    </w:p>
    <w:p>
      <w:pPr>
        <w:jc w:val="left"/>
      </w:pPr>
      <w:r>
        <w:rPr>
          <w:b/>
        </w:rPr>
        <w:t>5.</w:t>
      </w:r>
      <w:r>
        <w:t xml:space="preserve"> die Beklagte zu 1) zu verurteilen, an die Klägerin zu 1) als Ersatz der Psychotherapiekosten </w:t>
      </w:r>
      <w:r>
        <w:rPr>
          <w:b/>
        </w:rPr>
        <w:t>EUR 2.400,--</w:t>
      </w:r>
      <w:r>
        <w:t xml:space="preserve"> zu zahlen, nebst Zinsen;</w:t>
      </w:r>
    </w:p>
    <w:p>
      <w:pPr>
        <w:jc w:val="left"/>
      </w:pPr>
      <w:r>
        <w:rPr>
          <w:b/>
        </w:rPr>
        <w:t>6.</w:t>
      </w:r>
      <w:r>
        <w:t xml:space="preserve"> festzustellen, dass die Beklagte zu 1) verpflichtet ist, der Klägerin zu 2) sämtliche zukünftige materiellen Schäden zu ersetzen, die ihr aus dem Geburtsgeschehen vom 17./18. Juli 2024 entstehen, soweit die Ansprüche nicht auf Sozialversicherungsträger übergegangen sind;</w:t>
      </w:r>
    </w:p>
    <w:p>
      <w:pPr>
        <w:jc w:val="left"/>
      </w:pPr>
      <w:r>
        <w:rPr>
          <w:b/>
        </w:rPr>
        <w:t>7.</w:t>
      </w:r>
      <w:r>
        <w:t xml:space="preserve"> festzustellen, dass die Beklagte zu 1) verpflichtet ist, der Klägerin zu 1) die zukünftigen materiellen Schäden aus dem Geburtsgeschehen zu ersetzen, insbesondere den dauerhaften Erwerbsausfall durch die mit dem Pflegebedarf der Tochter verbundene Arbeitszeitreduktion;</w:t>
      </w:r>
    </w:p>
    <w:p>
      <w:pPr>
        <w:jc w:val="left"/>
      </w:pPr>
      <w:r>
        <w:rPr>
          <w:b/>
        </w:rPr>
        <w:t>8.</w:t>
      </w:r>
      <w:r>
        <w:t xml:space="preserve"> der Klägerin zu 1) und der Klägerin zu 2) Prozesskostenhilfe zu bewilligen und RAin Christina Wachhorst beizuordnen.</w:t>
      </w:r>
    </w:p>
    <w:p/>
    <w:p>
      <w:pPr>
        <w:pStyle w:val="Heading2"/>
      </w:pPr>
      <w:r>
        <w:rPr>
          <w:rFonts w:ascii="Times New Roman" w:hAnsi="Times New Roman"/>
        </w:rPr>
        <w:t>I. Sachverhalt</w:t>
      </w:r>
    </w:p>
    <w:p>
      <w:pPr>
        <w:pStyle w:val="Heading3"/>
      </w:pPr>
      <w:r>
        <w:rPr>
          <w:rFonts w:ascii="Times New Roman" w:hAnsi="Times New Roman"/>
        </w:rPr>
        <w:t>1. Aufnahme und Beginn der Geburt</w:t>
      </w:r>
    </w:p>
    <w:p>
      <w:pPr>
        <w:jc w:val="left"/>
      </w:pPr>
      <w:r>
        <w:t>Die Klägerin zu 1) wurde am 17. Juli 2024 um 21:48 Uhr in die Geburtshilfe der Beklagten zu 1) aufgenommen. Es handelte sich um die erste Schwangerschaft, ET+5 Tage. Die Aufnahme erfolgte durch Beleghebamme Margit Sander. Ein CTG wurde ab 21:51 Uhr angelegt.</w:t>
      </w:r>
    </w:p>
    <w:p>
      <w:pPr>
        <w:jc w:val="left"/>
      </w:pPr>
      <w:r>
        <w:t>Die Basalfrequenz beim Aufnahme-CTG betrug 110–115 Schläge/min. Variable Dezelerationen wurden dokumentiert. Eine ärztliche Bewertung des Aufnahme-CTG ist in der Akte nicht belegt.</w:t>
      </w:r>
    </w:p>
    <w:p>
      <w:pPr>
        <w:pStyle w:val="Heading3"/>
      </w:pPr>
      <w:r>
        <w:rPr>
          <w:rFonts w:ascii="Times New Roman" w:hAnsi="Times New Roman"/>
        </w:rPr>
        <w:t>2. Pathologisches CTG ab 23:25 Uhr</w:t>
      </w:r>
    </w:p>
    <w:p>
      <w:pPr>
        <w:jc w:val="left"/>
      </w:pPr>
      <w:r>
        <w:t>Ab 23:25 Uhr zeigten sich im CTG wiederholt späte Dezelerationen (Nadir 85–90 Schläge/min, Beginn des Abfalls 40–60 Sekunden nach dem Wehengipfel, Rückkehr zur Basalfrequenz nach 90–120 Sekunden). Die Basalfrequenz sank auf 105–110 Schläge/min. Die Variabilität war ab ca. 00:30 Uhr eingeschränkt (&lt; 5 Schläge/min). Eine Mikroblutuntersuchung (MBU) oder Sectio-Indikationsüberprüfung erfolgte nicht.</w:t>
      </w:r>
    </w:p>
    <w:p>
      <w:pPr>
        <w:jc w:val="left"/>
      </w:pPr>
      <w:r>
        <w:t>Die Sachverständige Prof. Dr. [M.-G.] hat in ihrem Gutachten für die Gutachter- und Schlichtungsstelle der ÄK Niedersachsen festgestellt: „Das vorliegende Muster von anhaltenden späten Dezelerationen mit eingeschränkter Variabilität entspricht ab spätestens 23:55 Uhr einem pathologischen CTG nach FIGO-Klassifikation 2015, für das die Leitlinie (DGGG S3 2020, AWMF 015-083) unverzüglich eine Mikroblutuntersuchung oder eine sofortige Sectioentscheidung fordert." (Gutachten S. 8)</w:t>
      </w:r>
    </w:p>
    <w:p>
      <w:pPr>
        <w:pStyle w:val="Heading3"/>
      </w:pPr>
      <w:r>
        <w:rPr>
          <w:rFonts w:ascii="Times New Roman" w:hAnsi="Times New Roman"/>
        </w:rPr>
        <w:t>3. Schichtwechsel um 01:12 Uhr</w:t>
      </w:r>
    </w:p>
    <w:p>
      <w:pPr>
        <w:jc w:val="left"/>
      </w:pPr>
      <w:r>
        <w:t>Um 01:12 Uhr übergab Beleghebamme Sander die Betreuung an Hebamme Pfletschinger. Die Übergabedokumentation umfasst vier Zeilen ohne Erwähnung des pathologischen CTG-Musters oder der fehlenden MBU. Die Sachverständige bewertet die Übergabe als „nicht leitliniengerecht" (Gutachten S. 12). Zwischen Sander und Pfletschinger besteht ein unaufgelöster Widerspruch darüber, ob ein mündlicher Hinweis auf das CTG erfolgte.</w:t>
      </w:r>
    </w:p>
    <w:p>
      <w:pPr>
        <w:pStyle w:val="Heading3"/>
      </w:pPr>
      <w:r>
        <w:rPr>
          <w:rFonts w:ascii="Times New Roman" w:hAnsi="Times New Roman"/>
        </w:rPr>
        <w:t>4. Fehlende ärztliche Reaktion bis 03:47 Uhr</w:t>
      </w:r>
    </w:p>
    <w:p>
      <w:pPr>
        <w:jc w:val="left"/>
      </w:pPr>
      <w:r>
        <w:t>Für den gesamten Zeitraum 23:30 bis 03:47 Uhr ist kein ärztliches Handeln dokumentiert, das auf das pathologische CTG reagiert. Kein Arztbesuch im Kreißsaal ist belegt. Ein CTG-Auswertungsblatt der Klinik vermerkt für den Zeitraum 01:12–02:30 Uhr „MBU erwogen" ohne Angabe eines Ergebnisses oder einer Entscheidung.</w:t>
      </w:r>
    </w:p>
    <w:p>
      <w:pPr>
        <w:jc w:val="left"/>
      </w:pPr>
      <w:r>
        <w:t>Um 02:30 Uhr ist ein handschriftlicher Eintrag „pH 7,28 — im Normbereich" durch die Beklagte zu 2) (Dr. Voth) aktenkundig. Dieser Wert ist in der Labor-EDV der Klinik nicht dokumentiert; eine Messmethodik ist nicht angegeben. Die Sachverständige hält diesen Eintrag für erklärungsbedürftig.</w:t>
      </w:r>
    </w:p>
    <w:p>
      <w:pPr>
        <w:pStyle w:val="Heading3"/>
      </w:pPr>
      <w:r>
        <w:rPr>
          <w:rFonts w:ascii="Times New Roman" w:hAnsi="Times New Roman"/>
        </w:rPr>
        <w:t>5. Notsectio und Geburtsschaden</w:t>
      </w:r>
    </w:p>
    <w:p>
      <w:pPr>
        <w:jc w:val="left"/>
      </w:pPr>
      <w:r>
        <w:t>Um 03:47 Uhr wurde eine Notsectio durchgeführt, nachdem die fetale Herzfrequenz auf 60 Schläge/min abgefallen war. Helene Meinhardt wurde um 03:54 Uhr geboren. Apgar 1/3/5, Nabelschnur-pH 6,92, BE −18,5 mmol/L. Sofortige Reanimation, Verlegung NICU. Diagnose HIE Grad III, später ICP Grad III (GMFCS V).</w:t>
      </w:r>
    </w:p>
    <w:p>
      <w:pPr>
        <w:pStyle w:val="Heading3"/>
      </w:pPr>
      <w:r>
        <w:rPr>
          <w:rFonts w:ascii="Times New Roman" w:hAnsi="Times New Roman"/>
        </w:rPr>
        <w:t>6. Fehlende Aufklärung</w:t>
      </w:r>
    </w:p>
    <w:p>
      <w:pPr>
        <w:jc w:val="left"/>
      </w:pPr>
      <w:r>
        <w:t>In dem gesamten Zeitraum vom Beginn des pathologischen CTG (23:25 Uhr) bis zur Notsectio (03:47 Uhr) hat kein ärztliches Aufklärungsgespräch über den CTG-Befund, die Behandlungsoptionen (MBU, Sectio) oder die damit verbundenen Risiken stattgefunden. Die Klägerin zu 1) erklärt ausdrücklich, kein solches Gespräch erhalten zu haben. Die Akte enthält keinen Beleg für ein solches Gespräch.</w:t>
      </w:r>
    </w:p>
    <w:p>
      <w:pPr>
        <w:pStyle w:val="Heading3"/>
      </w:pPr>
      <w:r>
        <w:rPr>
          <w:rFonts w:ascii="Times New Roman" w:hAnsi="Times New Roman"/>
        </w:rPr>
        <w:t>7. Dokumentationsmängel</w:t>
      </w:r>
    </w:p>
    <w:p>
      <w:pPr>
        <w:jc w:val="left"/>
      </w:pPr>
      <w:r>
        <w:t>CTG-Bogen 5 (03:05–03:47 Uhr) fehlt in der übersandten Patientenakte. Die Pflegedokumentation enthält keine Einträge für den Zeitraum 03:00–03:47 Uhr. Die Labor-EDV enthält keinen Wert für den Eintrag 02:30 Uhr.</w:t>
      </w:r>
    </w:p>
    <w:p/>
    <w:p>
      <w:pPr>
        <w:pStyle w:val="Heading2"/>
      </w:pPr>
      <w:r>
        <w:rPr>
          <w:rFonts w:ascii="Times New Roman" w:hAnsi="Times New Roman"/>
        </w:rPr>
        <w:t>II. Rechtliche Würdigung</w:t>
      </w:r>
    </w:p>
    <w:p>
      <w:pPr>
        <w:pStyle w:val="Heading3"/>
      </w:pPr>
      <w:r>
        <w:rPr>
          <w:rFonts w:ascii="Times New Roman" w:hAnsi="Times New Roman"/>
        </w:rPr>
        <w:t>1. Behandlungsfehler (§ 630a Abs. 2 BGB, § 823 Abs. 1 BGB)</w:t>
      </w:r>
    </w:p>
    <w:p>
      <w:pPr>
        <w:jc w:val="left"/>
      </w:pPr>
      <w:r>
        <w:t>Die Beklagten haben gegen den Facharztstandard verstoßen durch:</w:t>
      </w:r>
    </w:p>
    <w:p>
      <w:pPr>
        <w:jc w:val="left"/>
      </w:pPr>
      <w:r>
        <w:t>a) Unterlassen einer MBU ab spätestens 23:30 Uhr trotz pathologischen CTG-Befunds entgegen DGGG-S3-Leitlinie (AWMF 015-083);</w:t>
      </w:r>
    </w:p>
    <w:p>
      <w:pPr>
        <w:jc w:val="left"/>
      </w:pPr>
      <w:r>
        <w:t>b) Unterlassen einer Sectio-Indikationsüberprüfung trotz pathologischen CTG-Musters über mehr als vier Stunden;</w:t>
      </w:r>
    </w:p>
    <w:p>
      <w:pPr>
        <w:jc w:val="left"/>
      </w:pPr>
      <w:r>
        <w:t>c) Unzureichende Schichtübergabe ohne Information über das pathologische CTG;</w:t>
      </w:r>
    </w:p>
    <w:p>
      <w:pPr>
        <w:jc w:val="left"/>
      </w:pPr>
      <w:r>
        <w:t>d) Fehlende ärztliche Überwachung und Entscheidungsfindung im gesamten kritischen Zeitraum.</w:t>
      </w:r>
    </w:p>
    <w:p>
      <w:pPr>
        <w:pStyle w:val="Heading3"/>
      </w:pPr>
      <w:r>
        <w:rPr>
          <w:rFonts w:ascii="Times New Roman" w:hAnsi="Times New Roman"/>
        </w:rPr>
        <w:t>2. Aufklärungsmangel (§ 630e BGB)</w:t>
      </w:r>
    </w:p>
    <w:p>
      <w:pPr>
        <w:jc w:val="left"/>
      </w:pPr>
      <w:r>
        <w:t>Ein Aufklärungsgespräch über den CTG-Befund und die Sectio-Option hat nicht stattgefunden. Die Beklagte zu 1) trägt nach § 630h Abs. 1 BGB die Beweislast für den hypothetischen Einwilligungsverzicht.</w:t>
      </w:r>
    </w:p>
    <w:p>
      <w:pPr>
        <w:pStyle w:val="Heading3"/>
      </w:pPr>
      <w:r>
        <w:rPr>
          <w:rFonts w:ascii="Times New Roman" w:hAnsi="Times New Roman"/>
        </w:rPr>
        <w:t>3. Dokumentationsmangel und Beweislastverschiebung (§ 630f, § 630h Abs. 3 BGB)</w:t>
      </w:r>
    </w:p>
    <w:p>
      <w:pPr>
        <w:jc w:val="left"/>
      </w:pPr>
      <w:r>
        <w:t>Die fehlenden Dokumentationen (CTG-Bogen 5, Laboreintrag, Pflegedokumentation 03:00–03:47 Uhr) begründen die Vermutung nach § 630h Abs. 3 BGB, dass die nicht dokumentierten Maßnahmen unterblieben sind. Die Beklagte zu 1) hat die Vollständigkeit der Akteneinsicht behauptet, ohne den fehlenden CTG-Bogen zu erklären.</w:t>
      </w:r>
    </w:p>
    <w:p>
      <w:pPr>
        <w:pStyle w:val="Heading3"/>
      </w:pPr>
      <w:r>
        <w:rPr>
          <w:rFonts w:ascii="Times New Roman" w:hAnsi="Times New Roman"/>
        </w:rPr>
        <w:t>4. Grober Behandlungsfehler (§ 630h Abs. 5 BGB)</w:t>
      </w:r>
    </w:p>
    <w:p>
      <w:pPr>
        <w:jc w:val="left"/>
      </w:pPr>
      <w:r>
        <w:t>Das Unterlassen jeder ärztlichen Reaktion auf ein pathologisches CTG über einen Zeitraum von mehr als vier Stunden kann als grober Behandlungsfehler gewertet werden, der einem Arzt schlechterdings nicht unterlaufen darf (BGH 25.10.2011, VI ZR 139/10). Sollte das Gericht dies so würdigen, kehrt sich die Beweislast für die Kausalität zugunsten der Klägerinnen um.</w:t>
      </w:r>
    </w:p>
    <w:p>
      <w:pPr>
        <w:pStyle w:val="Heading3"/>
      </w:pPr>
      <w:r>
        <w:rPr>
          <w:rFonts w:ascii="Times New Roman" w:hAnsi="Times New Roman"/>
        </w:rPr>
        <w:t>5. Kausalität</w:t>
      </w:r>
    </w:p>
    <w:p>
      <w:pPr>
        <w:jc w:val="left"/>
      </w:pPr>
      <w:r>
        <w:t>Das neonatologisch-neuropädiatrische Sachverständigengutachten (Dr. P.-R.) bestätigt, dass die schwere peripartale Azidose (pH 6,92, BE −18,5 mmol/L) dem Muster einer sich über mehrere Stunden entwickelnden Asphyxie entspricht. Eine frühere Sectio — nach dem Facharztstandard spätestens um 01:30 Uhr geboten — hätte die Asphyxie mit überwiegender Wahrscheinlichkeit verhindert oder wesentlich gemindert.</w:t>
      </w:r>
    </w:p>
    <w:p/>
    <w:p>
      <w:pPr>
        <w:pStyle w:val="Heading2"/>
      </w:pPr>
      <w:r>
        <w:rPr>
          <w:rFonts w:ascii="Times New Roman" w:hAnsi="Times New Roman"/>
        </w:rPr>
        <w:t>III. Beweisangebote</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Tatsache</w:t>
            </w:r>
          </w:p>
        </w:tc>
        <w:tc>
          <w:tcPr>
            <w:tcW w:type="dxa" w:w="4536"/>
          </w:tcPr>
          <w:p>
            <w:r>
              <w:rPr>
                <w:rFonts w:ascii="Times New Roman" w:hAnsi="Times New Roman"/>
                <w:b/>
                <w:sz w:val="20"/>
              </w:rPr>
              <w:t>Beweis</w:t>
            </w:r>
          </w:p>
        </w:tc>
      </w:tr>
      <w:tr>
        <w:tc>
          <w:tcPr>
            <w:tcW w:type="dxa" w:w="4536"/>
          </w:tcPr>
          <w:p>
            <w:r>
              <w:rPr>
                <w:rFonts w:ascii="Times New Roman" w:hAnsi="Times New Roman"/>
                <w:sz w:val="20"/>
              </w:rPr>
              <w:t>CTG-Befund ab 23:25 Uhr pathologisch</w:t>
            </w:r>
          </w:p>
        </w:tc>
        <w:tc>
          <w:tcPr>
            <w:tcW w:type="dxa" w:w="4536"/>
          </w:tcPr>
          <w:p>
            <w:r>
              <w:rPr>
                <w:rFonts w:ascii="Times New Roman" w:hAnsi="Times New Roman"/>
                <w:sz w:val="20"/>
              </w:rPr>
              <w:t>SV-Gutachten (gerichtlich), Anlage CTG-Bögen</w:t>
            </w:r>
          </w:p>
        </w:tc>
      </w:tr>
      <w:tr>
        <w:tc>
          <w:tcPr>
            <w:tcW w:type="dxa" w:w="4536"/>
          </w:tcPr>
          <w:p>
            <w:r>
              <w:rPr>
                <w:rFonts w:ascii="Times New Roman" w:hAnsi="Times New Roman"/>
                <w:sz w:val="20"/>
              </w:rPr>
              <w:t>Keine MBU durchgeführt</w:t>
            </w:r>
          </w:p>
        </w:tc>
        <w:tc>
          <w:tcPr>
            <w:tcW w:type="dxa" w:w="4536"/>
          </w:tcPr>
          <w:p>
            <w:r>
              <w:rPr>
                <w:rFonts w:ascii="Times New Roman" w:hAnsi="Times New Roman"/>
                <w:sz w:val="20"/>
              </w:rPr>
              <w:t>Patientenakte, Zeugen Sander, Pfletschinger</w:t>
            </w:r>
          </w:p>
        </w:tc>
      </w:tr>
      <w:tr>
        <w:tc>
          <w:tcPr>
            <w:tcW w:type="dxa" w:w="4536"/>
          </w:tcPr>
          <w:p>
            <w:r>
              <w:rPr>
                <w:rFonts w:ascii="Times New Roman" w:hAnsi="Times New Roman"/>
                <w:sz w:val="20"/>
              </w:rPr>
              <w:t>Keine ärztliche Visite</w:t>
            </w:r>
          </w:p>
        </w:tc>
        <w:tc>
          <w:tcPr>
            <w:tcW w:type="dxa" w:w="4536"/>
          </w:tcPr>
          <w:p>
            <w:r>
              <w:rPr>
                <w:rFonts w:ascii="Times New Roman" w:hAnsi="Times New Roman"/>
                <w:sz w:val="20"/>
              </w:rPr>
              <w:t>Akte, Zeugen Sander, Pfletschinger, Dr. Voth (Parteivernehmung)</w:t>
            </w:r>
          </w:p>
        </w:tc>
      </w:tr>
      <w:tr>
        <w:tc>
          <w:tcPr>
            <w:tcW w:type="dxa" w:w="4536"/>
          </w:tcPr>
          <w:p>
            <w:r>
              <w:rPr>
                <w:rFonts w:ascii="Times New Roman" w:hAnsi="Times New Roman"/>
                <w:sz w:val="20"/>
              </w:rPr>
              <w:t>Fehlerhafte Übergabe</w:t>
            </w:r>
          </w:p>
        </w:tc>
        <w:tc>
          <w:tcPr>
            <w:tcW w:type="dxa" w:w="4536"/>
          </w:tcPr>
          <w:p>
            <w:r>
              <w:rPr>
                <w:rFonts w:ascii="Times New Roman" w:hAnsi="Times New Roman"/>
                <w:sz w:val="20"/>
              </w:rPr>
              <w:t>Akte, Zeugen Sander, Pfletschinger</w:t>
            </w:r>
          </w:p>
        </w:tc>
      </w:tr>
      <w:tr>
        <w:tc>
          <w:tcPr>
            <w:tcW w:type="dxa" w:w="4536"/>
          </w:tcPr>
          <w:p>
            <w:r>
              <w:rPr>
                <w:rFonts w:ascii="Times New Roman" w:hAnsi="Times New Roman"/>
                <w:sz w:val="20"/>
              </w:rPr>
              <w:t>Fehlende Aufklärung</w:t>
            </w:r>
          </w:p>
        </w:tc>
        <w:tc>
          <w:tcPr>
            <w:tcW w:type="dxa" w:w="4536"/>
          </w:tcPr>
          <w:p>
            <w:r>
              <w:rPr>
                <w:rFonts w:ascii="Times New Roman" w:hAnsi="Times New Roman"/>
                <w:sz w:val="20"/>
              </w:rPr>
              <w:t>Klägerin zu 1) (Parteianhörung § 141 ZPO), Akte</w:t>
            </w:r>
          </w:p>
        </w:tc>
      </w:tr>
      <w:tr>
        <w:tc>
          <w:tcPr>
            <w:tcW w:type="dxa" w:w="4536"/>
          </w:tcPr>
          <w:p>
            <w:r>
              <w:rPr>
                <w:rFonts w:ascii="Times New Roman" w:hAnsi="Times New Roman"/>
                <w:sz w:val="20"/>
              </w:rPr>
              <w:t>Fehlender CTG-Bogen 5</w:t>
            </w:r>
          </w:p>
        </w:tc>
        <w:tc>
          <w:tcPr>
            <w:tcW w:type="dxa" w:w="4536"/>
          </w:tcPr>
          <w:p>
            <w:r>
              <w:rPr>
                <w:rFonts w:ascii="Times New Roman" w:hAnsi="Times New Roman"/>
                <w:sz w:val="20"/>
              </w:rPr>
              <w:t>Akte selbst; Sachverständiger IT (ggf.)</w:t>
            </w:r>
          </w:p>
        </w:tc>
      </w:tr>
      <w:tr>
        <w:tc>
          <w:tcPr>
            <w:tcW w:type="dxa" w:w="4536"/>
          </w:tcPr>
          <w:p>
            <w:r>
              <w:rPr>
                <w:rFonts w:ascii="Times New Roman" w:hAnsi="Times New Roman"/>
                <w:sz w:val="20"/>
              </w:rPr>
              <w:t>pH-Eintrag ohne Labor-Beleg</w:t>
            </w:r>
          </w:p>
        </w:tc>
        <w:tc>
          <w:tcPr>
            <w:tcW w:type="dxa" w:w="4536"/>
          </w:tcPr>
          <w:p>
            <w:r>
              <w:rPr>
                <w:rFonts w:ascii="Times New Roman" w:hAnsi="Times New Roman"/>
                <w:sz w:val="20"/>
              </w:rPr>
              <w:t>Labor-EDV Klinik (beizuziehen)</w:t>
            </w:r>
          </w:p>
        </w:tc>
      </w:tr>
      <w:tr>
        <w:tc>
          <w:tcPr>
            <w:tcW w:type="dxa" w:w="4536"/>
          </w:tcPr>
          <w:p>
            <w:r>
              <w:rPr>
                <w:rFonts w:ascii="Times New Roman" w:hAnsi="Times New Roman"/>
                <w:sz w:val="20"/>
              </w:rPr>
              <w:t>Gesundheitsschaden Helene</w:t>
            </w:r>
          </w:p>
        </w:tc>
        <w:tc>
          <w:tcPr>
            <w:tcW w:type="dxa" w:w="4536"/>
          </w:tcPr>
          <w:p>
            <w:r>
              <w:rPr>
                <w:rFonts w:ascii="Times New Roman" w:hAnsi="Times New Roman"/>
                <w:sz w:val="20"/>
              </w:rPr>
              <w:t>NICU-Akte, MRT, SPZ-Berichte, SV Neuropädiatrie</w:t>
            </w:r>
          </w:p>
        </w:tc>
      </w:tr>
      <w:tr>
        <w:tc>
          <w:tcPr>
            <w:tcW w:type="dxa" w:w="4536"/>
          </w:tcPr>
          <w:p>
            <w:r>
              <w:rPr>
                <w:rFonts w:ascii="Times New Roman" w:hAnsi="Times New Roman"/>
                <w:sz w:val="20"/>
              </w:rPr>
              <w:t>Pflegekosten</w:t>
            </w:r>
          </w:p>
        </w:tc>
        <w:tc>
          <w:tcPr>
            <w:tcW w:type="dxa" w:w="4536"/>
          </w:tcPr>
          <w:p>
            <w:r>
              <w:rPr>
                <w:rFonts w:ascii="Times New Roman" w:hAnsi="Times New Roman"/>
                <w:sz w:val="20"/>
              </w:rPr>
              <w:t>Bescheide, Rechnungen, SV Pflege</w:t>
            </w:r>
          </w:p>
        </w:tc>
      </w:tr>
      <w:tr>
        <w:tc>
          <w:tcPr>
            <w:tcW w:type="dxa" w:w="4536"/>
          </w:tcPr>
          <w:p>
            <w:r>
              <w:rPr>
                <w:rFonts w:ascii="Times New Roman" w:hAnsi="Times New Roman"/>
                <w:sz w:val="20"/>
              </w:rPr>
              <w:t>Verdienstausfall Mutter</w:t>
            </w:r>
          </w:p>
        </w:tc>
        <w:tc>
          <w:tcPr>
            <w:tcW w:type="dxa" w:w="4536"/>
          </w:tcPr>
          <w:p>
            <w:r>
              <w:rPr>
                <w:rFonts w:ascii="Times New Roman" w:hAnsi="Times New Roman"/>
                <w:sz w:val="20"/>
              </w:rPr>
              <w:t>Arbeitgeberbescheinigung, Steuerakte</w:t>
            </w:r>
          </w:p>
        </w:tc>
      </w:tr>
      <w:tr>
        <w:tc>
          <w:tcPr>
            <w:tcW w:type="dxa" w:w="4536"/>
          </w:tcPr>
          <w:p>
            <w:r>
              <w:rPr>
                <w:rFonts w:ascii="Times New Roman" w:hAnsi="Times New Roman"/>
                <w:sz w:val="20"/>
              </w:rPr>
              <w:t>Schmerzensgeld-Maßstab</w:t>
            </w:r>
          </w:p>
        </w:tc>
        <w:tc>
          <w:tcPr>
            <w:tcW w:type="dxa" w:w="4536"/>
          </w:tcPr>
          <w:p>
            <w:r>
              <w:rPr>
                <w:rFonts w:ascii="Times New Roman" w:hAnsi="Times New Roman"/>
                <w:sz w:val="20"/>
              </w:rPr>
              <w:t>SV Neuropädiatrie, OLG-Vergleichsfälle</w:t>
            </w:r>
          </w:p>
        </w:tc>
      </w:tr>
    </w:tbl>
    <w:p/>
    <w:p>
      <w:pPr>
        <w:jc w:val="left"/>
      </w:pPr>
      <w:r>
        <w:rPr>
          <w:i/>
        </w:rPr>
        <w:t>Charlottenstraße 35, 10117 Berlin, [Datum Einreichung]</w:t>
      </w:r>
    </w:p>
    <w:p>
      <w:pPr>
        <w:jc w:val="left"/>
      </w:pPr>
      <w:r>
        <w:rPr>
          <w:i/>
        </w:rPr>
        <w:t>RAin Christina Wachhorst</w:t>
      </w:r>
    </w:p>
    <w:p>
      <w:pPr>
        <w:jc w:val="left"/>
      </w:pPr>
      <w:r>
        <w:rPr>
          <w:i/>
        </w:rPr>
        <w:t>Klotzkette Rechtsanwaltsgesellschaft mbH</w:t>
      </w:r>
    </w:p>
    <w:p>
      <w:pPr>
        <w:jc w:val="left"/>
      </w:pPr>
      <w:r>
        <w:rPr>
          <w:i/>
        </w:rPr>
        <w:t>Fachanwältin Medizinrecht</w:t>
      </w:r>
    </w:p>
    <w:p/>
    <w:p>
      <w:pPr>
        <w:jc w:val="left"/>
      </w:pPr>
      <w:r>
        <w:rPr>
          <w:i/>
        </w:rPr>
        <w:t>Anm. intern: Klageschrift nach Endabstimmung mit Mandantin zur Einreichung freigeben. PKH-Antrag beifügen. Gerichtsgebühr EUR 10.638 bei Kasse vorschießen oder PKH beantragen — Reihenfolge klären.</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Landgericht Hildesheim</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Landgericht Hildesheim</w:t>
    </w:r>
  </w:p>
  <w:p>
    <w:pPr>
      <w:jc w:val="left"/>
      <w:pBdr>
        <w:bottom w:val="single" w:sz="6" w:space="2" w:color="3B3F45"/>
      </w:pBdr>
    </w:pPr>
    <w:r>
      <w:rPr>
        <w:rFonts w:ascii="Times New Roman" w:hAnsi="Times New Roman"/>
        <w:color w:val="6B6B66"/>
        <w:sz w:val="16"/>
      </w:rPr>
      <w:t>Gericht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