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Produktdaten und Klassifizierungsbegründung: CNC-Steuermodul GX-900</w:t>
      </w:r>
    </w:p>
    <w:p>
      <w:pPr>
        <w:jc w:val="left"/>
      </w:pPr>
      <w:r>
        <w:rPr>
          <w:b/>
        </w:rPr>
        <w:t>Dokumenttyp:</w:t>
      </w:r>
      <w:r>
        <w:t xml:space="preserve"> Technisches Datenblatt / Klassifizierungsmemo</w:t>
      </w:r>
    </w:p>
    <w:p>
      <w:pPr>
        <w:jc w:val="left"/>
      </w:pPr>
      <w:r>
        <w:rPr>
          <w:b/>
        </w:rPr>
        <w:t>Erstellt:</w:t>
      </w:r>
      <w:r>
        <w:t xml:space="preserve"> 14. April 2026</w:t>
      </w:r>
    </w:p>
    <w:p>
      <w:pPr>
        <w:jc w:val="left"/>
      </w:pPr>
      <w:r>
        <w:rPr>
          <w:b/>
        </w:rPr>
        <w:t>Verfasser:</w:t>
      </w:r>
      <w:r>
        <w:t xml:space="preserve"> Dipl.-Ing. Rainer Hofstädter, Exportkontrollbeauftragter</w:t>
      </w:r>
    </w:p>
    <w:p>
      <w:pPr>
        <w:jc w:val="left"/>
      </w:pPr>
      <w:r>
        <w:rPr>
          <w:b/>
        </w:rPr>
        <w:t>Aktenzeichen:</w:t>
      </w:r>
      <w:r>
        <w:t xml:space="preserve"> GM-EK-2026-041</w:t>
      </w:r>
    </w:p>
    <w:p>
      <w:pPr>
        <w:jc w:val="left"/>
      </w:pPr>
      <w:r>
        <w:rPr>
          <w:b/>
        </w:rPr>
        <w:t>Vertraulichkeit:</w:t>
      </w:r>
      <w:r>
        <w:t xml:space="preserve"> Intern / Für Behörden freigegeben</w:t>
      </w:r>
    </w:p>
    <w:p/>
    <w:p>
      <w:pPr>
        <w:pStyle w:val="Heading2"/>
      </w:pPr>
      <w:r>
        <w:rPr>
          <w:rFonts w:ascii="Times New Roman" w:hAnsi="Times New Roman"/>
        </w:rPr>
        <w:t>1. Produktbezeichnung und 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Handelsname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CNC-Steuermodul GX-900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Interne Artikelnummer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8000-GX900-EU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Hersteller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Globalmaschinen GmbH, Rotebühlplatz 18, 70178 Stuttgart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Entwicklungsstand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Revision 3.2 (Stand: 01/2026)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Seriennummernformat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GX9-JJJJ-XXXXXX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EAN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4012345678901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Herstellungsort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Stuttgart-Zuffenhausen (Montage), Prozessorkern: USA</w:t>
            </w:r>
          </w:p>
        </w:tc>
      </w:tr>
    </w:tbl>
    <w:p>
      <w:pPr>
        <w:jc w:val="left"/>
      </w:pPr>
      <w:r>
        <w:t>Das CNC-Steuermodul GX-900 ist ein hochintegriertes Steuerungssystem für numerisch gesteuerte Werkzeugmaschinen (Computer Numerical Control). Es wird von der Globalmaschinen GmbH sowohl in eigene Maschinen eingebaut (OEM-Variante) als auch als Ersatzteil für Bestandsmaschinen anderer Hersteller angeboten (Aftermarket-Variante).</w:t>
      </w:r>
    </w:p>
    <w:p/>
    <w:p>
      <w:pPr>
        <w:pStyle w:val="Heading2"/>
      </w:pPr>
      <w:r>
        <w:rPr>
          <w:rFonts w:ascii="Times New Roman" w:hAnsi="Times New Roman"/>
        </w:rPr>
        <w:t>2. Technische Spezifikationen</w:t>
      </w:r>
    </w:p>
    <w:p>
      <w:pPr>
        <w:pStyle w:val="Heading3"/>
      </w:pPr>
      <w:r>
        <w:rPr>
          <w:rFonts w:ascii="Times New Roman" w:hAnsi="Times New Roman"/>
        </w:rPr>
        <w:t>2.1 Kerndaten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Spezifikation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Prozessorkern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Quad-Core ARM Cortex-A72, 1,8 GHz, US-Ursprung (Chip-Design: Sunnyvale/CA)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Betriebssystem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RTOS LinuxCNC 2.9 (Open Source, angepasst)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Achssteuerung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zu 9 simultane CNC-Achsen (3+3+3 Konfiguration)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Positioniergenauigkeit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≤ 0,001 mm (1 μm) bei Vollausbau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Schnittstellen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EtherCAT (IEC 61158), Profinet, RS-232/RS-485, USB 3.0, Ethernet 1 GbE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Firmware-Update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Over-the-Air (OTA) über gesichertes Cloud-Portal (TLS 1.3, AES-256)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Verschlüsselungsmodul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integrierter Hardware Security Module (HSM) Atmel ATECC608A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Schutzart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IP54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Betriebstemperatur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-10 °C bis +55 °C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Versorgungsspannung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 V DC ±10 %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Abmessungen (LxBxH)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385 × 290 × 72 mm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2,4 kg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Konformität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CE, RoHS 2, REACH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Servoantrieb-Schnittstelle</w:t>
      </w:r>
    </w:p>
    <w:p>
      <w:pPr>
        <w:jc w:val="left"/>
      </w:pPr>
      <w:r>
        <w:t>Das Modul steuert Servoantriebe über den EtherCAT-Bus mit einer Zykluszeit von 250 μs. Die Servoschnittstelle unterstützt die Profile CiA 402 und SoE. Maximale Ausgangssignalfrequenz an den Encoder-Eingängen: 4 MHz (Quadratur). Die Achsinterpolation ist linear und zirkulär (G01/G02/G03 konform nach DIN 66025).</w:t>
      </w:r>
    </w:p>
    <w:p>
      <w:pPr>
        <w:pStyle w:val="Heading3"/>
      </w:pPr>
      <w:r>
        <w:rPr>
          <w:rFonts w:ascii="Times New Roman" w:hAnsi="Times New Roman"/>
        </w:rPr>
        <w:t>2.3 Cloud-Konnektivität und Fernwartung</w:t>
      </w:r>
    </w:p>
    <w:p>
      <w:pPr>
        <w:jc w:val="left"/>
      </w:pPr>
      <w:r>
        <w:t>Die OTA-Updatefunktion nutzt ein herstellereigenes Cloud-Backend (Server: AWS Frankfurt, Region eu-central-1). Der Zugang ist zertifikatsbasiert (X.509), Geräteidentifikation über eindeutige Seriennummer. Der Export von Maschinendaten (Fertigungsparameter, Fehlerprotokolle) ist konfigurierbar und kann im Offline-Modus vollständig deaktiviert werden. Eine Fernsteuerung des Moduls über die Cloud ist technisch nicht implementiert; das Portal beschränkt sich auf Firmware-Distribution und Diagnosedaten.</w:t>
      </w:r>
    </w:p>
    <w:p>
      <w:pPr>
        <w:pStyle w:val="Heading3"/>
      </w:pPr>
      <w:r>
        <w:rPr>
          <w:rFonts w:ascii="Times New Roman" w:hAnsi="Times New Roman"/>
        </w:rPr>
        <w:t>2.4 Verschlüsselung</w:t>
      </w:r>
    </w:p>
    <w:p>
      <w:pPr>
        <w:jc w:val="left"/>
      </w:pPr>
      <w:r>
        <w:t>Der integrierte HSM (ATECC608A) implementiert:</w:t>
      </w:r>
    </w:p>
    <w:p>
      <w:pPr>
        <w:pStyle w:val="ListBullet"/>
      </w:pPr>
      <w:r>
        <w:t>AES-128/256 (symmetrisch)</w:t>
      </w:r>
    </w:p>
    <w:p>
      <w:pPr>
        <w:pStyle w:val="ListBullet"/>
      </w:pPr>
      <w:r>
        <w:t>SHA-256/384 (Hashfunktionen)</w:t>
      </w:r>
    </w:p>
    <w:p>
      <w:pPr>
        <w:pStyle w:val="ListBullet"/>
      </w:pPr>
      <w:r>
        <w:t>ECDSA P-256/P-384 (Signatur)</w:t>
      </w:r>
    </w:p>
    <w:p>
      <w:pPr>
        <w:pStyle w:val="ListBullet"/>
      </w:pPr>
      <w:r>
        <w:t>ECDH P-256 (Schlüsselvereinbarung)</w:t>
      </w:r>
    </w:p>
    <w:p>
      <w:pPr>
        <w:jc w:val="left"/>
      </w:pPr>
      <w:r>
        <w:t xml:space="preserve">Die maximale Schlüssellänge beträgt 256 Bit (symmetrisch) bzw. 384 Bit (asymmetrisch ECC). Das Modul ist </w:t>
      </w:r>
      <w:r>
        <w:rPr>
          <w:b/>
        </w:rPr>
        <w:t>nicht</w:t>
      </w:r>
      <w:r>
        <w:t xml:space="preserve"> für militärische Verschlüsselung ausgelegt und erfüllt nicht FIPS 140-3 Level 3.</w:t>
      </w:r>
    </w:p>
    <w:p/>
    <w:p>
      <w:pPr>
        <w:pStyle w:val="Heading2"/>
      </w:pPr>
      <w:r>
        <w:rPr>
          <w:rFonts w:ascii="Times New Roman" w:hAnsi="Times New Roman"/>
        </w:rPr>
        <w:t>3. Typische Endverwendung</w:t>
      </w:r>
    </w:p>
    <w:p>
      <w:pPr>
        <w:jc w:val="left"/>
      </w:pPr>
      <w:r>
        <w:t>Das GX-900 wird primär eingesetzt in:</w:t>
      </w:r>
    </w:p>
    <w:p>
      <w:pPr>
        <w:pStyle w:val="ListBullet"/>
      </w:pPr>
      <w:r>
        <w:t>Dreh- und Fräsmaschinen (zivile Fertigung, Metallbearbeitung)</w:t>
      </w:r>
    </w:p>
    <w:p>
      <w:pPr>
        <w:pStyle w:val="ListBullet"/>
      </w:pPr>
      <w:r>
        <w:t>Holzbearbeitungszentren</w:t>
      </w:r>
    </w:p>
    <w:p>
      <w:pPr>
        <w:pStyle w:val="ListBullet"/>
      </w:pPr>
      <w:r>
        <w:t>Laserschneidanlagen (Einbindung als Interpolationsmodul)</w:t>
      </w:r>
    </w:p>
    <w:p>
      <w:pPr>
        <w:pStyle w:val="ListBullet"/>
      </w:pPr>
      <w:r>
        <w:t>Retrofit-Vorhaben: Modernisierung älterer CNC-Maschinenparks</w:t>
      </w:r>
    </w:p>
    <w:p>
      <w:pPr>
        <w:jc w:val="left"/>
      </w:pPr>
      <w:r>
        <w:t>Kundenbranchen: Maschinenbau, Automobilindustrie, Werkzeugbau, Luft- und Raumfahrtzulieferer (Strukturbauteile, keine Waffensysteme), Medizintechnik (Fräsen von Implantaten).</w:t>
      </w:r>
    </w:p>
    <w:p/>
    <w:p>
      <w:pPr>
        <w:pStyle w:val="Heading2"/>
      </w:pPr>
      <w:r>
        <w:rPr>
          <w:rFonts w:ascii="Times New Roman" w:hAnsi="Times New Roman"/>
        </w:rPr>
        <w:t>4. Klassifizierungsanalyse nach EU-Dual-Use-Verordnung (VO EU 2021/821)</w:t>
      </w:r>
    </w:p>
    <w:p>
      <w:pPr>
        <w:pStyle w:val="Heading3"/>
      </w:pPr>
      <w:r>
        <w:rPr>
          <w:rFonts w:ascii="Times New Roman" w:hAnsi="Times New Roman"/>
        </w:rPr>
        <w:t>4.1 Vorgehensweise</w:t>
      </w:r>
    </w:p>
    <w:p>
      <w:pPr>
        <w:jc w:val="left"/>
      </w:pPr>
      <w:r>
        <w:t>Die Klassifizierung erfolgt anhand der Anhänge I (Güterliste) der EU-Dual-Use-Verordnung (EU) 2021/821, ergänzt durch den Vergleich mit der US-amerikanischen Export Administration Regulations (EAR), Commerce Control List (CCL).</w:t>
      </w:r>
    </w:p>
    <w:p>
      <w:pPr>
        <w:pStyle w:val="Heading3"/>
      </w:pPr>
      <w:r>
        <w:rPr>
          <w:rFonts w:ascii="Times New Roman" w:hAnsi="Times New Roman"/>
        </w:rPr>
        <w:t>4.2 Prüfungsschritt 1: Numerische Steuerungen – Kategorie 2B</w:t>
      </w:r>
    </w:p>
    <w:p>
      <w:pPr>
        <w:jc w:val="left"/>
      </w:pPr>
      <w:r>
        <w:rPr>
          <w:b/>
        </w:rPr>
        <w:t>Einstiegspunkt:</w:t>
      </w:r>
      <w:r>
        <w:t xml:space="preserve"> Kategorie 2 (Materialbearbeitung), Untergruppe B (Ausrüstung).</w:t>
      </w:r>
    </w:p>
    <w:p>
      <w:pPr>
        <w:jc w:val="left"/>
      </w:pPr>
      <w:r>
        <w:t xml:space="preserve">Gemäß Position </w:t>
      </w:r>
      <w:r>
        <w:rPr>
          <w:b/>
        </w:rPr>
        <w:t>2B001.b.1</w:t>
      </w:r>
      <w:r>
        <w:t xml:space="preserve"> der EU-Dual-Use-Güterliste sind numerische Steuerungssysteme für Werkzeugmaschinen zu prüfen, wenn sie für mehr als 5 simultane, interpolierend gesteuerte Achsen ausgelegt sind.</w:t>
      </w:r>
    </w:p>
    <w:p>
      <w:pPr>
        <w:jc w:val="left"/>
      </w:pPr>
      <w:r>
        <w:rPr>
          <w:b/>
        </w:rPr>
        <w:t>Befund:</w:t>
      </w:r>
      <w:r>
        <w:t xml:space="preserve"> Das GX-900 steuert bis zu </w:t>
      </w:r>
      <w:r>
        <w:rPr>
          <w:b/>
        </w:rPr>
        <w:t>9 simultane Achsen</w:t>
      </w:r>
      <w:r>
        <w:t xml:space="preserve"> mit Interpolation – dies überschreitet den Schwellenwert von 5 Achsen nach 2B001.b.1. Das Modul ist daher </w:t>
      </w:r>
      <w:r>
        <w:rPr>
          <w:b/>
        </w:rPr>
        <w:t>grundsätzlich listenpflichtig</w:t>
      </w:r>
      <w:r>
        <w:t xml:space="preserve"> als Steuerungssystem für Werkzeugmaschinen i.S.v. 2B001.</w:t>
      </w:r>
    </w:p>
    <w:p>
      <w:pPr>
        <w:pStyle w:val="Heading3"/>
      </w:pPr>
      <w:r>
        <w:rPr>
          <w:rFonts w:ascii="Times New Roman" w:hAnsi="Times New Roman"/>
        </w:rPr>
        <w:t>4.3 Prüfungsschritt 2: Positioniergenauigkeit</w:t>
      </w:r>
    </w:p>
    <w:p>
      <w:pPr>
        <w:jc w:val="left"/>
      </w:pPr>
      <w:r>
        <w:t>Position 2B001 setzt voraus, dass die Positioniergenauigkeit besser als:</w:t>
      </w:r>
    </w:p>
    <w:p>
      <w:pPr>
        <w:pStyle w:val="ListBullet"/>
      </w:pPr>
      <w:r>
        <w:t>≤ 6 μm bei linearen Achsen (nach VDI/DGQ 3441 oder ISO 230-2)</w:t>
      </w:r>
    </w:p>
    <w:p>
      <w:pPr>
        <w:jc w:val="left"/>
      </w:pPr>
      <w:r>
        <w:t>Das GX-900 erreicht ≤ 1 μm – unterschreitet damit die Schwelle erheblich.</w:t>
      </w:r>
    </w:p>
    <w:p>
      <w:pPr>
        <w:jc w:val="left"/>
      </w:pPr>
      <w:r>
        <w:rPr>
          <w:b/>
        </w:rPr>
        <w:t>Befund:</w:t>
      </w:r>
      <w:r>
        <w:t xml:space="preserve"> Der Genauigkeitsparameter liegt innerhalb des kontrollierten Bereichs.</w:t>
      </w:r>
    </w:p>
    <w:p>
      <w:pPr>
        <w:pStyle w:val="Heading3"/>
      </w:pPr>
      <w:r>
        <w:rPr>
          <w:rFonts w:ascii="Times New Roman" w:hAnsi="Times New Roman"/>
        </w:rPr>
        <w:t>4.4 Prüfungsschritt 3: Informationssicherheitsfunktionen – Kategorie 5 Teil 2</w:t>
      </w:r>
    </w:p>
    <w:p>
      <w:pPr>
        <w:jc w:val="left"/>
      </w:pPr>
      <w:r>
        <w:t xml:space="preserve">Das integrierte HSM mit AES-256 und ECC-384 ist auf Tauglichkeit für Position </w:t>
      </w:r>
      <w:r>
        <w:rPr>
          <w:b/>
        </w:rPr>
        <w:t>5E002</w:t>
      </w:r>
      <w:r>
        <w:t xml:space="preserve"> (Software für die Entwicklung oder Produktion von Gütern der Pos. 5A002) zu prüfen. Pos. 5A002.a umfasst Systeme zur Sicherung von Informationen mittels kryptographischer Methoden.</w:t>
      </w:r>
    </w:p>
    <w:p>
      <w:pPr>
        <w:jc w:val="left"/>
      </w:pPr>
      <w:r>
        <w:rPr>
          <w:b/>
        </w:rPr>
        <w:t>Ausnahme:</w:t>
      </w:r>
      <w:r>
        <w:t xml:space="preserve"> Note 3 zu Kategorie 5 Teil 2 (Cryptography Note / "CN") sieht eine Freistellung vor, wenn die kryptographischen Funktionen nicht das primäre Element der Ware sind und die Ware für einen allgemeinen, kommerziellen Zweck (ohne selektive Kontrollmöglichkeit) entwickelt wurde. Das GX-900 nutzt den HSM ausschließlich zur Integritätssicherung von Firmware-Updates und Gerätezertifikaten, nicht zur Verschlüsselung von Kommunikationsinhalten im Sinne einer Vertraulichkeitslösung.</w:t>
      </w:r>
    </w:p>
    <w:p>
      <w:pPr>
        <w:jc w:val="left"/>
      </w:pPr>
      <w:r>
        <w:rPr>
          <w:b/>
        </w:rPr>
        <w:t>Befund:</w:t>
      </w:r>
      <w:r>
        <w:t xml:space="preserve"> Die CN (Cryptography Note) greift mit hoher Wahrscheinlichkeit; eine Einstufung unter 5A002/5E002 ist nicht indiziert. Eine formelle BAFA-Anfrage zur Bestätigung wird empfohlen.</w:t>
      </w:r>
    </w:p>
    <w:p>
      <w:pPr>
        <w:pStyle w:val="Heading3"/>
      </w:pPr>
      <w:r>
        <w:rPr>
          <w:rFonts w:ascii="Times New Roman" w:hAnsi="Times New Roman"/>
        </w:rPr>
        <w:t>4.5 Prüfungsschritt 4: US-EAR-Bezug (ECCN)</w:t>
      </w:r>
    </w:p>
    <w:p>
      <w:pPr>
        <w:jc w:val="left"/>
      </w:pPr>
      <w:r>
        <w:t>Der Prozessorkern (ARM Cortex-A72 basierend auf US-IP, Chip-Design Sunnyvale/CA) unterliegt potenziell der US-Exportkontrolle (EAR, 15 CFR Part 774, CCL). Relevante ECCN-Kandidaten: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ECCN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Treffer?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3A991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Prozessoren, nicht unter 3A001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Wahrscheinlich 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3E001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Technologie für Güter nach 3A001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(kein Transfer von Technologie)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2B001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Werkzeugmaschinen-Steuerungen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Parallel-Klassifizierung möglich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EAR99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kontrolliert, Freirestkategorie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Ausschluss prüfen</w:t>
            </w:r>
          </w:p>
        </w:tc>
      </w:tr>
    </w:tbl>
    <w:p>
      <w:pPr>
        <w:jc w:val="left"/>
      </w:pPr>
      <w:r>
        <w:t xml:space="preserve">Der ARM Cortex-A72 als Commodity-Prozessor fällt nach aktueller BIS-Praxis regelmäßig unter </w:t>
      </w:r>
      <w:r>
        <w:rPr>
          <w:b/>
        </w:rPr>
        <w:t>ECCN 3A991</w:t>
      </w:r>
      <w:r>
        <w:t xml:space="preserve"> (weniger sensibel, ATF-Liste), sofern er die Performance-Schwellen von 3A001.a nicht überschreitet. Die De-minimis-Regel (15 CFR § 734.4) könnte bei weniger als 25 % US-Wertanteil am Endprodukt eingreifen; der Wertanteil ist zu ermitteln.</w:t>
      </w:r>
    </w:p>
    <w:p>
      <w:pPr>
        <w:jc w:val="left"/>
      </w:pPr>
      <w:r>
        <w:rPr>
          <w:b/>
        </w:rPr>
        <w:t>Handlungsempfehlung:</w:t>
      </w:r>
      <w:r>
        <w:t xml:space="preserve"> US-amerikanischen Hersteller des Chips (voraussichtlich: Broadcom-Lizenzpartner) anfragen, ob ein ECCN-Klassifizierungsschreiben vorliegt.</w:t>
      </w:r>
    </w:p>
    <w:p>
      <w:pPr>
        <w:pStyle w:val="Heading3"/>
      </w:pPr>
      <w:r>
        <w:rPr>
          <w:rFonts w:ascii="Times New Roman" w:hAnsi="Times New Roman"/>
        </w:rPr>
        <w:t>4.6 Ergebnis Klassifizierung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Aspekt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EU-Dual-Use-Listenpflicht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Ja, 2B001.b.1</w:t>
            </w:r>
            <w:r>
              <w:rPr>
                <w:rFonts w:ascii="Times New Roman" w:hAnsi="Times New Roman"/>
                <w:sz w:val="20"/>
              </w:rPr>
              <w:t xml:space="preserve"> (CNC-Steuerung, &gt;5 Achsen, hohe Genauigkeit)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Kryptographie (5A002)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Wahrscheinlich freigestellt (Cryptography Note)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US-EAR-Berührung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Prüfung De-minimis-Regel erforderlich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Endprodukt-HS-Code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8537.10</w:t>
            </w:r>
            <w:r>
              <w:rPr>
                <w:rFonts w:ascii="Times New Roman" w:hAnsi="Times New Roman"/>
                <w:sz w:val="20"/>
              </w:rPr>
              <w:t xml:space="preserve"> (Schalttafeln und -schränke, ≤ 1000 V) – bestätigt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KN-Unterposition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8537 10 99 (sonstige, ≤ 1000 V)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TARIC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8537 10 99 10 (soweit anwendbar, DE-Praxis)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Identifikation besonderer Exportkontrollrisiken</w:t>
      </w:r>
    </w:p>
    <w:p>
      <w:pPr>
        <w:pStyle w:val="ListNumber"/>
      </w:pPr>
      <w:r>
        <w:rPr>
          <w:b/>
        </w:rPr>
        <w:t>Mehrachsigkeit:</w:t>
      </w:r>
      <w:r>
        <w:t xml:space="preserve"> Die 9-Achsen-Interpolation überschreitet die Listenschwelle – eine Genehmigungspflicht für Exporte in Drittstaaten (insbesondere in Länder des Anhangs II der EU-Dual-Use-VO) ist wahrscheinlich.</w:t>
      </w:r>
    </w:p>
    <w:p>
      <w:pPr>
        <w:pStyle w:val="ListNumber"/>
      </w:pPr>
      <w:r>
        <w:rPr>
          <w:b/>
        </w:rPr>
        <w:t>US-Prozessorkern:</w:t>
      </w:r>
      <w:r>
        <w:t xml:space="preserve"> Re-Export-Beschränkungen nach EAR könnten unabhängig vom deutschen/EU-Recht gelten (Extraterritorialitätsprinzip). Exporte aus der EU in sanktionierte Länder (Russland, Weißrussland, Iran) sind nach Art. 12g VO (EU) 833/2014 verboten; der Hersteller haftet für Umgehungshandlungen Dritter.</w:t>
      </w:r>
    </w:p>
    <w:p>
      <w:pPr>
        <w:pStyle w:val="ListNumber"/>
      </w:pPr>
      <w:r>
        <w:rPr>
          <w:b/>
        </w:rPr>
        <w:t>Cloud-OTA:</w:t>
      </w:r>
      <w:r>
        <w:t xml:space="preserve"> Das Cloud-Update-Feature macht das Modul zu einem vernetzten System; Sicherheitsüberprüfungen können nach Cyber-Security-Gesichtspunkten zusätzlich relevant werden (NIS2).</w:t>
      </w:r>
    </w:p>
    <w:p>
      <w:pPr>
        <w:pStyle w:val="ListNumber"/>
      </w:pPr>
      <w:r>
        <w:rPr>
          <w:b/>
        </w:rPr>
        <w:t>Endverwendungsrisiko:</w:t>
      </w:r>
      <w:r>
        <w:t xml:space="preserve"> Angegebene Endverwendung (zivile Maschinenwartung) deckt sich nicht mit der Weiterleitungsstruktur (TR → KZ); Catch-All-Prüfung nach Art. 4 EU 2021/821 ist obligatorisch.</w:t>
      </w:r>
    </w:p>
    <w:p/>
    <w:p>
      <w:pPr>
        <w:pStyle w:val="Heading2"/>
      </w:pPr>
      <w:r>
        <w:rPr>
          <w:rFonts w:ascii="Times New Roman" w:hAnsi="Times New Roman"/>
        </w:rPr>
        <w:t>6. Empfohlene nächste Schritte</w:t>
      </w:r>
    </w:p>
    <w:p>
      <w:pPr>
        <w:pStyle w:val="ListBullet"/>
      </w:pPr>
      <w:r>
        <w:t>[ ] Vollständige Güterlistenprüfung nach 2B001 mit BAFA-Verbindlichkeitsbescheid</w:t>
      </w:r>
    </w:p>
    <w:p>
      <w:pPr>
        <w:pStyle w:val="ListBullet"/>
      </w:pPr>
      <w:r>
        <w:t>[ ] ECCN-Bestätigung beim US-Komponentenlieferanten einholen</w:t>
      </w:r>
    </w:p>
    <w:p>
      <w:pPr>
        <w:pStyle w:val="ListBullet"/>
      </w:pPr>
      <w:r>
        <w:t>[ ] De-minimis-Berechnung (US-Wertanteil)</w:t>
      </w:r>
    </w:p>
    <w:p>
      <w:pPr>
        <w:pStyle w:val="ListBullet"/>
      </w:pPr>
      <w:r>
        <w:t>[ ] Endverwendungserklärung (EUC) des türkischen Händlers für jede Sendung</w:t>
      </w:r>
    </w:p>
    <w:p>
      <w:pPr>
        <w:pStyle w:val="ListBullet"/>
      </w:pPr>
      <w:r>
        <w:t>[ ] Weiterverkaufsverbot in die Russische Föderation, Weißrussland und Iran vertraglich sicherstellen</w:t>
      </w:r>
    </w:p>
    <w:p>
      <w:pPr>
        <w:pStyle w:val="ListBullet"/>
      </w:pPr>
      <w:r>
        <w:t>[ ] Catch-All-Prüfung für die konkrete Kasachstan-Transaktion dokumentieren</w:t>
      </w:r>
    </w:p>
    <w:p/>
    <w:p>
      <w:pPr>
        <w:jc w:val="left"/>
      </w:pPr>
      <w:r>
        <w:rPr>
          <w:i/>
        </w:rPr>
        <w:t>Erstellt von: Dipl.-Ing. Rainer Hofstädter | Exportkontrollbeauftragter | Globalmaschinen GmbH | Version 1.0 | 14.04.2026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Vertraulichkeit: Intern / Für Behörden freigegeben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Vertraulichkeit: Intern / Für Behörden freigegeben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 · Aktenzeichen: GM-EK-2026-041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