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cbam_importe_stahl_aluminium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CBAM Stoffstrom Q1-2026</w:t>
      </w:r>
    </w:p>
    <w:p>
      <w:pPr>
        <w:pStyle w:val="Heading3"/>
      </w:pPr>
      <w:r>
        <w:rPr>
          <w:rFonts w:ascii="Times New Roman" w:hAnsi="Times New Roman"/>
        </w:rPr>
        <w:t>CBAM-Stoffstromliste Q1/2026 – Globalmaschinen GmbH</w:t>
      </w:r>
    </w:p>
    <w:p>
      <w:pPr>
        <w:jc w:val="left"/>
      </w:pPr>
      <w:r>
        <w:t>_Erstellt: 20.04.2026 \| Verantwortlich: Benedikt Schramm, Zollbeauftragter \| Aktenzeichen: GM-CBAM-2026-001_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Quartal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Warenbeschreibung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KN-Code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Warenunterposition (TARIC)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Ursprungsland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Menge (t)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Emissionen (t CO2e)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Emissionsfaktor (kg CO2e/t)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Datenquelle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CBAM-Relevant?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Bericht-Status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Anmerkungen / Prüfbedarf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2026-Q1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Aluminiumprofil (stranggepresst)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7604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7604 21 00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Türkei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6.7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Lieferantendaten fehlen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Emissionsdaten beim Lieferanten anfordern (Frist 30.04.2026)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2026-Q1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Stahlschrauben (Verbindungselemente)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7318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7318 15 69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China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14.2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2.37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Lieferant Excel-Tabelle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Warencode prüfen (Antidumping-Verfahren laufend); Emissionen vorhanden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2026-Q1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Elektroschaltschrank (Basisgestell)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8537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8537 10 99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USA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Keine Angabe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NEIN (voraussichtlich)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HS 8537 nicht in Anhang I CBAM-VO; Prüfung abgeschlossen – nicht CBAM-pflichtig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2026-Q1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Stahlblech kaltgewalzt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7209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7209 16 90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Ukraine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12.5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28.75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2.3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Lieferant Zertifikat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DATEN VORHANDEN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Emissionsdaten vollständig; Meldung Q1-Bericht vorzubereiten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2026-Q1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Gusseisen-Formteile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7325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7325 99 10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Indien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1.8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Schätzwert (IPCC-Standardwert)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Standardemissionswerte aus CBAM-Durchführungsverordnung zu verwenden wenn Lieferant nicht liefert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2026-Q1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Aluminium-Druckgussteile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7616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7616 99 90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Türkei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4.5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6.2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Lieferantendaten fehlen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Zweiter Aluminiumlieferant TK; Emissionsdaten separat anfordern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2026-Q1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Stahl-Rohrprofile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7306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7306 61 92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Weißrussland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7.8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2.6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Lieferant Direktauskunft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SANKTIONSPRÜFUNG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Lieferant aus BY – Einfuhrverbot nach VO 2022/576 prüfen! Lieferstopp empfohlen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SUMME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LEGENDE: Gelb = CBAM-Meldung ausstehend \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Rot = Sanktionsrisiko prüfen \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Grün = Daten vollständig \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Weiß/Blau = Kein CBAM-Bezug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CBAM-Rechtsgrundlage: Verordnung (EU) 2023/956 \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Übergangszeitraum 2023–2025: Berichtspflicht ohne Zahlungspflicht \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Ab 01.01.2026: volle Anwendung mit CBAM-Zertifikaten \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Zuständigkeit: Benedikt Schramm, Zollbeauftragter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AWV-Zahlungen Q1-2026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Gegenpartei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Land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Zweck / Zahlungsgrund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AWV-meldepflichtig?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Gemeldet?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Meldefrist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Anmerkungen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18.01.2026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48.000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Al Noor FZE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VAE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Vermittlungsprovision Industriegüter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JA (§ 67 AWV)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07.02.2026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Nachmeldung sofort; Sanktionsrisiko VAE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8.900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Swiss Parts AG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Schweiz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Ersatzteile Verbindungselemente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JA (§ 67 AWV, &gt; 5.000 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Nachmeldung erforderlich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125.000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Turan Industrial Trading Ltd.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Türkei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Vorauszahlung Liefervertrag GX-900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JA (§ 67 AWV, &gt; 12.500 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UNKLAR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PRÜFEN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Verbindung zu laufender EK-Prüfung; Zahlung gesperrt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Logistik Nord GmbH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Deutschland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Frachtkosten inländisch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NEIN (Inland)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Keine AWV-Pflicht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22.400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Vertex Tools S.r.l.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Italien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Einkauf Fräswerkzeuge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NEIN (EU-Überweisung)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EU-Zahlung; keine AWV-Pflicht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Globalmaschinen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Globalmaschinen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 · Aktenzeichen: GM-CBAM-2026-001_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