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MiCAR-Übergangslizenz und Übergangsregime</w:t>
      </w:r>
    </w:p>
    <w:p>
      <w:pPr>
        <w:jc w:val="left"/>
      </w:pPr>
      <w:r>
        <w:rPr>
          <w:b/>
        </w:rPr>
        <w:t>Rechtsgrundlage:</w:t>
      </w:r>
      <w:r>
        <w:t xml:space="preserve"> Verordnung (EU) 2023/1114 über Märkte für Kryptowerte (MiCAR), insb. Art. 59, Art. 63, Art. 143</w:t>
      </w:r>
    </w:p>
    <w:p>
      <w:pPr>
        <w:jc w:val="left"/>
      </w:pPr>
      <w:r>
        <w:rPr>
          <w:b/>
        </w:rPr>
        <w:t>Nationales Umsetzungsgesetz:</w:t>
      </w:r>
      <w:r>
        <w:t xml:space="preserve"> Finanzmarktdigitalisierungsgesetz (FinmadiG), BGBl. I 2024</w:t>
      </w:r>
    </w:p>
    <w:p>
      <w:pPr>
        <w:jc w:val="left"/>
      </w:pPr>
      <w:r>
        <w:rPr>
          <w:b/>
        </w:rPr>
        <w:t>Antragsdatum CASP-Zulassung:</w:t>
      </w:r>
      <w:r>
        <w:t xml:space="preserve"> 14. November 2024</w:t>
      </w:r>
    </w:p>
    <w:p>
      <w:pPr>
        <w:jc w:val="left"/>
      </w:pPr>
      <w:r>
        <w:rPr>
          <w:b/>
        </w:rPr>
        <w:t>Zuständige Behörde:</w:t>
      </w:r>
      <w:r>
        <w:t xml:space="preserve"> BaFin (Referat WA 37)</w:t>
      </w:r>
    </w:p>
    <w:p/>
    <w:p>
      <w:pPr>
        <w:pStyle w:val="Heading2"/>
      </w:pPr>
      <w:r>
        <w:rPr>
          <w:rFonts w:ascii="Times New Roman" w:hAnsi="Times New Roman"/>
        </w:rPr>
        <w:t>Übergangsregime nach Art. 143 MiCAR</w:t>
      </w:r>
    </w:p>
    <w:p>
      <w:pPr>
        <w:jc w:val="left"/>
      </w:pPr>
      <w:r>
        <w:t>Art. 143 Abs. 3 MiCAR sieht vor, dass Unternehmen, die vor dem 30. Dezember 2024 nach nationalem Recht zugelassen waren und Kryptoasset-Dienstleistungen erbringen, diese Dienstleistungen bis zum 1. Juli 2026 (oder bis zur nationalen Verkürzung auf 12 Monate) ohne CASP-Zulassung nach MiCAR fortführen dürfen. Der deutsche Gesetzgeber hat im FinmadiG die Übergangsfrist auf den 30. Juni 2026 begrenzt.</w:t>
      </w:r>
    </w:p>
    <w:p>
      <w:pPr>
        <w:jc w:val="left"/>
      </w:pPr>
      <w:r>
        <w:t>Die Thalvenia Bank AG befindet sich somit im Übergangsregime. Der CASP-Antrag vom 14. November 2024 wurde vollständig eingereicht; die BaFin hat die Vollständigkeit am 20. Januar 2025 bestätigt. Die Prüfung dauert an; eine Entscheidung wurde für das zweite Quartal 2026 in Aussicht gestellt.</w:t>
      </w:r>
    </w:p>
    <w:p/>
    <w:p>
      <w:pPr>
        <w:pStyle w:val="Heading2"/>
      </w:pPr>
      <w:r>
        <w:rPr>
          <w:rFonts w:ascii="Times New Roman" w:hAnsi="Times New Roman"/>
        </w:rPr>
        <w:t>Antragsinhalt (Zusammenfassung)</w:t>
      </w:r>
    </w:p>
    <w:p>
      <w:pPr>
        <w:jc w:val="left"/>
      </w:pPr>
      <w:r>
        <w:t>Der CASP-Antrag umfasst die Zulassung für folgende Kryptoasset-Dienstleistungen nach Art. 3 Abs. 1 Nr. 16 MiCAR: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MiCAR-Dienstleistung</w:t>
            </w:r>
          </w:p>
        </w:tc>
        <w:tc>
          <w:tcPr>
            <w:tcW w:type="dxa" w:w="3024"/>
          </w:tcPr>
          <w:p>
            <w:r>
              <w:rPr>
                <w:rFonts w:ascii="Times New Roman" w:hAnsi="Times New Roman"/>
                <w:b/>
                <w:sz w:val="20"/>
              </w:rPr>
              <w:t>Art. MiCAR</w:t>
            </w:r>
          </w:p>
        </w:tc>
        <w:tc>
          <w:tcPr>
            <w:tcW w:type="dxa" w:w="3024"/>
          </w:tcPr>
          <w:p>
            <w:r>
              <w:rPr>
                <w:rFonts w:ascii="Times New Roman" w:hAnsi="Times New Roman"/>
                <w:b/>
                <w:sz w:val="20"/>
              </w:rPr>
              <w:t>Status Antrag</w:t>
            </w:r>
          </w:p>
        </w:tc>
      </w:tr>
      <w:tr>
        <w:tc>
          <w:tcPr>
            <w:tcW w:type="dxa" w:w="3024"/>
          </w:tcPr>
          <w:p>
            <w:r>
              <w:rPr>
                <w:rFonts w:ascii="Times New Roman" w:hAnsi="Times New Roman"/>
                <w:sz w:val="20"/>
              </w:rPr>
              <w:t>Verwahrung und Verwaltung von Kryptowerten für Kunden</w:t>
            </w:r>
          </w:p>
        </w:tc>
        <w:tc>
          <w:tcPr>
            <w:tcW w:type="dxa" w:w="3024"/>
          </w:tcPr>
          <w:p>
            <w:r>
              <w:rPr>
                <w:rFonts w:ascii="Times New Roman" w:hAnsi="Times New Roman"/>
                <w:sz w:val="20"/>
              </w:rPr>
              <w:t>Art. 3 Abs. 1 Nr. 16 lit. a</w:t>
            </w:r>
          </w:p>
        </w:tc>
        <w:tc>
          <w:tcPr>
            <w:tcW w:type="dxa" w:w="3024"/>
          </w:tcPr>
          <w:p>
            <w:r>
              <w:rPr>
                <w:rFonts w:ascii="Times New Roman" w:hAnsi="Times New Roman"/>
                <w:sz w:val="20"/>
              </w:rPr>
              <w:t>Beantragt</w:t>
            </w:r>
          </w:p>
        </w:tc>
      </w:tr>
      <w:tr>
        <w:tc>
          <w:tcPr>
            <w:tcW w:type="dxa" w:w="3024"/>
          </w:tcPr>
          <w:p>
            <w:r>
              <w:rPr>
                <w:rFonts w:ascii="Times New Roman" w:hAnsi="Times New Roman"/>
                <w:sz w:val="20"/>
              </w:rPr>
              <w:t>Betrieb einer Handelsplattform für Kryptowerte</w:t>
            </w:r>
          </w:p>
        </w:tc>
        <w:tc>
          <w:tcPr>
            <w:tcW w:type="dxa" w:w="3024"/>
          </w:tcPr>
          <w:p>
            <w:r>
              <w:rPr>
                <w:rFonts w:ascii="Times New Roman" w:hAnsi="Times New Roman"/>
                <w:sz w:val="20"/>
              </w:rPr>
              <w:t>Art. 3 Abs. 1 Nr. 16 lit. b</w:t>
            </w:r>
          </w:p>
        </w:tc>
        <w:tc>
          <w:tcPr>
            <w:tcW w:type="dxa" w:w="3024"/>
          </w:tcPr>
          <w:p>
            <w:r>
              <w:rPr>
                <w:rFonts w:ascii="Times New Roman" w:hAnsi="Times New Roman"/>
                <w:sz w:val="20"/>
              </w:rPr>
              <w:t>Beantragt (neu)</w:t>
            </w:r>
          </w:p>
        </w:tc>
      </w:tr>
      <w:tr>
        <w:tc>
          <w:tcPr>
            <w:tcW w:type="dxa" w:w="3024"/>
          </w:tcPr>
          <w:p>
            <w:r>
              <w:rPr>
                <w:rFonts w:ascii="Times New Roman" w:hAnsi="Times New Roman"/>
                <w:sz w:val="20"/>
              </w:rPr>
              <w:t>Ausführung von Aufträgen für Kryptowerte</w:t>
            </w:r>
          </w:p>
        </w:tc>
        <w:tc>
          <w:tcPr>
            <w:tcW w:type="dxa" w:w="3024"/>
          </w:tcPr>
          <w:p>
            <w:r>
              <w:rPr>
                <w:rFonts w:ascii="Times New Roman" w:hAnsi="Times New Roman"/>
                <w:sz w:val="20"/>
              </w:rPr>
              <w:t>Art. 3 Abs. 1 Nr. 16 lit. d</w:t>
            </w:r>
          </w:p>
        </w:tc>
        <w:tc>
          <w:tcPr>
            <w:tcW w:type="dxa" w:w="3024"/>
          </w:tcPr>
          <w:p>
            <w:r>
              <w:rPr>
                <w:rFonts w:ascii="Times New Roman" w:hAnsi="Times New Roman"/>
                <w:sz w:val="20"/>
              </w:rPr>
              <w:t>Beantragt (neu)</w:t>
            </w:r>
          </w:p>
        </w:tc>
      </w:tr>
      <w:tr>
        <w:tc>
          <w:tcPr>
            <w:tcW w:type="dxa" w:w="3024"/>
          </w:tcPr>
          <w:p>
            <w:r>
              <w:rPr>
                <w:rFonts w:ascii="Times New Roman" w:hAnsi="Times New Roman"/>
                <w:sz w:val="20"/>
              </w:rPr>
              <w:t>Entgegennahme und Übertragung von Aufträgen</w:t>
            </w:r>
          </w:p>
        </w:tc>
        <w:tc>
          <w:tcPr>
            <w:tcW w:type="dxa" w:w="3024"/>
          </w:tcPr>
          <w:p>
            <w:r>
              <w:rPr>
                <w:rFonts w:ascii="Times New Roman" w:hAnsi="Times New Roman"/>
                <w:sz w:val="20"/>
              </w:rPr>
              <w:t>Art. 3 Abs. 1 Nr. 16 lit. e</w:t>
            </w:r>
          </w:p>
        </w:tc>
        <w:tc>
          <w:tcPr>
            <w:tcW w:type="dxa" w:w="3024"/>
          </w:tcPr>
          <w:p>
            <w:r>
              <w:rPr>
                <w:rFonts w:ascii="Times New Roman" w:hAnsi="Times New Roman"/>
                <w:sz w:val="20"/>
              </w:rPr>
              <w:t>Beantragt (neu)</w:t>
            </w:r>
          </w:p>
        </w:tc>
      </w:tr>
    </w:tbl>
    <w:p>
      <w:pPr>
        <w:jc w:val="left"/>
      </w:pPr>
      <w:r>
        <w:t>Die Erweiterung auf Dienstleistungen b, d und e ist für das Institut strategisch bedeutsam und erklärt teilweise das Wachstum des Kundenvolumens im Jahr 2024. Diese Erweiterung ist jedoch kritisch zu sehen, weil das operative Ausrollen dieser neuen Dienste im Jahr 2024 unter dem Übergangsstatus erfolgte und die AML-Systeme nicht zeitgerecht angepasst wurden.</w:t>
      </w:r>
    </w:p>
    <w:p/>
    <w:p>
      <w:pPr>
        <w:pStyle w:val="Heading2"/>
      </w:pPr>
      <w:r>
        <w:rPr>
          <w:rFonts w:ascii="Times New Roman" w:hAnsi="Times New Roman"/>
        </w:rPr>
        <w:t>Aufsichtsrechtliche Anforderungen unter MiCAR</w:t>
      </w:r>
    </w:p>
    <w:p>
      <w:pPr>
        <w:jc w:val="left"/>
      </w:pPr>
      <w:r>
        <w:t>Im Gegensatz zum früheren KWG-Regime stellt MiCAR deutlich erhöhte Anforderungen:</w:t>
      </w:r>
    </w:p>
    <w:p>
      <w:pPr>
        <w:pStyle w:val="ListBullet"/>
      </w:pPr>
      <w:r>
        <w:rPr>
          <w:b/>
        </w:rPr>
        <w:t>Kapitalanforderungen</w:t>
      </w:r>
      <w:r>
        <w:t xml:space="preserve"> nach Art. 67 MiCAR: Mindestkapital EUR 150.000 (derzeit EUR 12,5 Mio. Eigenkapital, gut erfüllt).</w:t>
      </w:r>
    </w:p>
    <w:p>
      <w:pPr>
        <w:pStyle w:val="ListBullet"/>
      </w:pPr>
      <w:r>
        <w:rPr>
          <w:b/>
        </w:rPr>
        <w:t>Governance</w:t>
      </w:r>
      <w:r>
        <w:t xml:space="preserve"> nach Art. 68 MiCAR: Mindestens zwei Leitungsmitglieder erforderlich — erfüllt.</w:t>
      </w:r>
    </w:p>
    <w:p>
      <w:pPr>
        <w:pStyle w:val="ListBullet"/>
      </w:pPr>
      <w:r>
        <w:rPr>
          <w:b/>
        </w:rPr>
        <w:t>White Paper</w:t>
      </w:r>
      <w:r>
        <w:t xml:space="preserve"> für jede angebotene Kryptowertart nach Art. 6 ff. MiCAR — ausstehend für drei neue Token-Kategorien.</w:t>
      </w:r>
    </w:p>
    <w:p>
      <w:pPr>
        <w:pStyle w:val="ListBullet"/>
      </w:pPr>
      <w:r>
        <w:rPr>
          <w:b/>
        </w:rPr>
        <w:t>Regeln über Interessenkonflikte</w:t>
      </w:r>
      <w:r>
        <w:t xml:space="preserve"> nach Art. 72 MiCAR — Lücken identifiziert im Zusammenhang mit dem Eigenhandel Token TN.</w:t>
      </w:r>
    </w:p>
    <w:p>
      <w:pPr>
        <w:pStyle w:val="ListBullet"/>
      </w:pPr>
      <w:r>
        <w:rPr>
          <w:b/>
        </w:rPr>
        <w:t>AML-/CFT-Anforderungen</w:t>
      </w:r>
      <w:r>
        <w:t xml:space="preserve"> nach Art. 92 MiCAR i.V.m. AMLA — entsprechen weitgehend dem GwG, verschärft durch Transfer of Funds Regulation (TFR).</w:t>
      </w:r>
    </w:p>
    <w:p/>
    <w:p>
      <w:pPr>
        <w:pStyle w:val="Heading2"/>
      </w:pPr>
      <w:r>
        <w:rPr>
          <w:rFonts w:ascii="Times New Roman" w:hAnsi="Times New Roman"/>
        </w:rPr>
        <w:t>Gefährdung der Übergangslizenz</w:t>
      </w:r>
    </w:p>
    <w:p>
      <w:pPr>
        <w:jc w:val="left"/>
      </w:pPr>
      <w:r>
        <w:t>Die BaFin hat im Anhörungsschreiben vom 14. Juli 2026 ausdrücklich darauf hingewiesen, dass die festgestellten Mängel (AML, Cyber, MAR) bei einer Gesamtbewertung die Versagung der CASP-Zulassung nach Art. 63 Abs. 1 lit. b MiCAR rechtfertigen können, wenn das Institut nicht zuverlässige und solide Regelungen und Verfahren zur Prävention von Geldwäsche und Terrorismusfinanzierung vorhält. Zusätzlich droht nach § 6 Abs. 3 KWG eine Untersagung der Kryptoverwahrgeschäfte bereits vor Ablauf der Übergangsfrist, wenn der ordnungsgemäße Geschäftsbetrieb gefährdet erscheint.</w:t>
      </w:r>
    </w:p>
    <w:p>
      <w:pPr>
        <w:jc w:val="left"/>
      </w:pPr>
      <w:r>
        <w:rPr>
          <w:b/>
        </w:rPr>
        <w:t>Zeitdruck:</w:t>
      </w:r>
      <w:r>
        <w:t xml:space="preserve"> Die Übergangsfrist endet am 30. Juni 2026. Der aktuelle Stand (August 2026) bedeutet, dass das Institut bereits über das Übergangsdatum hinaus tätig ist und seine Aktivitäten ausschließlich auf der Basis des eingereichten und noch nicht entschiedenen CASP-Antrags ausübt. Jede weitere Verzögerung erhöht das Untersagungsrisiko erheblich.</w:t>
      </w:r>
    </w:p>
    <w:p/>
    <w:p>
      <w:pPr>
        <w:pStyle w:val="Heading2"/>
      </w:pPr>
      <w:r>
        <w:rPr>
          <w:rFonts w:ascii="Times New Roman" w:hAnsi="Times New Roman"/>
        </w:rPr>
        <w:t>Strategie</w:t>
      </w:r>
    </w:p>
    <w:p>
      <w:pPr>
        <w:jc w:val="left"/>
      </w:pPr>
      <w:r>
        <w:t>Prof. Dr. Schwertbeck empfiehlt, die MiCAR-Zulassung als zentrales Leitmotiv der gesamten Remediation-Strategie zu behandeln. Ein überzeugender 100-Tage-Remediationsplan (vgl. 21-roadmap-remediation-100-tage.md), der alle AML- und Cyber-Mängel adressiert, ist die stärkste Argumentation für eine Zulassung trotz der Verstöße.</w:t>
      </w:r>
    </w:p>
    <w:p>
      <w:pPr>
        <w:jc w:val="left"/>
      </w:pPr>
      <w:r>
        <w:rPr>
          <w:b/>
        </w:rPr>
        <w:t>Quellen:</w:t>
      </w:r>
      <w:r>
        <w:t xml:space="preserve"> dejure.org zu MiCAR Art. 143; bafin.de, Merkblatt zu MiCAR (Stand Februar 2025); BaFin-Auslegungshinweise CASP-Antrag (Januar 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Zuständige Behörde: BaFin (Referat WA 37)</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Zuständige Behörde: BaFin (Referat WA 37)</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