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05 — Prüfungsschwerpunkte AML und Cybersicherheit</w:t>
      </w:r>
    </w:p>
    <w:p>
      <w:pPr>
        <w:jc w:val="left"/>
      </w:pPr>
      <w:r>
        <w:rPr>
          <w:b/>
        </w:rPr>
        <w:t>Bezug:</w:t>
      </w:r>
      <w:r>
        <w:t xml:space="preserve"> BaFin-Prüfung VBS 4 1 7-K-22-188/2026</w:t>
      </w:r>
    </w:p>
    <w:p>
      <w:pPr>
        <w:jc w:val="left"/>
      </w:pPr>
      <w:r>
        <w:rPr>
          <w:b/>
        </w:rPr>
        <w:t>Dokument:</w:t>
      </w:r>
      <w:r>
        <w:t xml:space="preserve"> Interne Auswertung Kanzlei SR-2026-FIN-0612</w:t>
      </w:r>
    </w:p>
    <w:p>
      <w:pPr>
        <w:jc w:val="left"/>
      </w:pPr>
      <w:r>
        <w:rPr>
          <w:b/>
        </w:rPr>
        <w:t>Datum:</w:t>
      </w:r>
      <w:r>
        <w:t xml:space="preserve"> 25. März 2026</w:t>
      </w:r>
    </w:p>
    <w:p/>
    <w:p>
      <w:pPr>
        <w:pStyle w:val="Heading2"/>
      </w:pPr>
      <w:r>
        <w:rPr>
          <w:rFonts w:ascii="Times New Roman" w:hAnsi="Times New Roman"/>
        </w:rPr>
        <w:t>Schwerpunkt 1: AML/GwG-Compliance</w:t>
      </w:r>
    </w:p>
    <w:p>
      <w:pPr>
        <w:pStyle w:val="Heading3"/>
      </w:pPr>
      <w:r>
        <w:rPr>
          <w:rFonts w:ascii="Times New Roman" w:hAnsi="Times New Roman"/>
        </w:rPr>
        <w:t>Prüferkatalog AML (BaFin-Standard)</w:t>
      </w:r>
    </w:p>
    <w:p>
      <w:pPr>
        <w:jc w:val="left"/>
      </w:pPr>
      <w:r>
        <w:t>Die BaFin verwendet für Kryptoverwahrungsunternehmen einen spezifischen AML-Prüfkatalog, der seit 2023 um MiCAR- und TFR-spezifische Anforderungen erweitert wurde. Folgende Prüfbereiche sind für Thalvenia besonders relevant:</w:t>
      </w:r>
    </w:p>
    <w:p>
      <w:pPr>
        <w:jc w:val="left"/>
      </w:pPr>
      <w:r>
        <w:rPr>
          <w:b/>
        </w:rPr>
        <w:t>a) Risikoanalyse (§ 5 GwG):</w:t>
      </w:r>
    </w:p>
    <w:p>
      <w:pPr>
        <w:jc w:val="left"/>
      </w:pPr>
      <w:r>
        <w:t>Das Institut muss eine aktuelle, dokumentierte und vorstandsgenehmigte Risikoanalyse vorhalten. Die interne Risikoanalyse der Thalvenia datiert aus November 2023; eine Aktualisierung für 2024/2025 fehlt. Das Institut hat das verwaltete Kundenvermögen von EUR 3,1 Mrd. (Ende 2023) auf EUR 4,3 Mrd. (März 2026) gesteigert — ohne entsprechende Anpassung der Risikoanalyse.</w:t>
      </w:r>
    </w:p>
    <w:p>
      <w:pPr>
        <w:jc w:val="left"/>
      </w:pPr>
      <w:r>
        <w:rPr>
          <w:b/>
        </w:rPr>
        <w:t>b) Kundensorgfaltspflichten (§§ 10-14 GwG):</w:t>
      </w:r>
    </w:p>
    <w:p>
      <w:pPr>
        <w:jc w:val="left"/>
      </w:pPr>
      <w:r>
        <w:t>Jeder Neukunde muss identifiziert werden; bei Hochrisikokunden sind verstärkte Sorgfaltspflichten nach § 15 GwG anzuwenden. BaFin-Prüfer haben im Vorab-Interview signalisiert, dass sie KYC-Akten für mindestens acht Hochrisikokunden untersuchen wollen.</w:t>
      </w:r>
    </w:p>
    <w:p>
      <w:pPr>
        <w:jc w:val="left"/>
      </w:pPr>
      <w:r>
        <w:rPr>
          <w:b/>
        </w:rPr>
        <w:t>c) PEP-Screening (§ 10 Abs. 1 Nr. 4, § 15 Abs. 3 GwG):</w:t>
      </w:r>
    </w:p>
    <w:p>
      <w:pPr>
        <w:jc w:val="left"/>
      </w:pPr>
      <w:r>
        <w:t>Politisch exponierte Personen (PEP) unterliegen verschärften Anforderungen. Das Institut nutzt eine externe Datenbank (SymphonyAI Sensa); diese wurde jedoch seit 2022 nicht vertraglich auf PEP-Abdeckung für Osteuropa und Kryptowirtschaft aktualisiert.</w:t>
      </w:r>
    </w:p>
    <w:p>
      <w:pPr>
        <w:jc w:val="left"/>
      </w:pPr>
      <w:r>
        <w:rPr>
          <w:b/>
        </w:rPr>
        <w:t>d) Verdachtsmeldepflicht (§ 43 GwG):</w:t>
      </w:r>
    </w:p>
    <w:p>
      <w:pPr>
        <w:jc w:val="left"/>
      </w:pPr>
      <w:r>
        <w:t>Im Prüfzeitraum (Oktober 2024 bis Januar 2026) wurden laut internem Meldeverzeichnis drei Verdachtsmeldungen an die FIU erstattet. Die BaFin prüft, ob weitere Meldungen hätten erstattet werden müssen, insbesondere im Zusammenhang mit Transaktionen des Hochrisiokunden HR-07 (Token TN).</w:t>
      </w:r>
    </w:p>
    <w:p/>
    <w:p>
      <w:pPr>
        <w:pStyle w:val="Heading2"/>
      </w:pPr>
      <w:r>
        <w:rPr>
          <w:rFonts w:ascii="Times New Roman" w:hAnsi="Times New Roman"/>
        </w:rPr>
        <w:t>Schwerpunkt 2: IT-Sicherheit / BAIT</w:t>
      </w:r>
    </w:p>
    <w:p>
      <w:pPr>
        <w:pStyle w:val="Heading3"/>
      </w:pPr>
      <w:r>
        <w:rPr>
          <w:rFonts w:ascii="Times New Roman" w:hAnsi="Times New Roman"/>
        </w:rPr>
        <w:t>BAIT 2024 — Prüfungsfragen</w:t>
      </w:r>
    </w:p>
    <w:p>
      <w:pPr>
        <w:jc w:val="left"/>
      </w:pPr>
      <w:r>
        <w:t>Die Bankaufsichtlichen Anforderungen an die IT (BAIT) in der Fassung 2024 formulieren in Tz. 55 die Pflicht zur unverzüglichen Meldung wesentlicher IT-Sicherheitsvorfälle an die BaFin. "Unverzüglich" wird von der BaFin als "ohne schuldhaftes Zögern, spätestens binnen 24 Stunden nach Kenntniserlangung" ausgelegt.</w:t>
      </w:r>
    </w:p>
    <w:p>
      <w:pPr>
        <w:jc w:val="left"/>
      </w:pPr>
      <w:r>
        <w:rPr>
          <w:b/>
        </w:rPr>
        <w:t>Cybervorfall Januar 2026:</w:t>
      </w:r>
    </w:p>
    <w:p>
      <w:pPr>
        <w:jc w:val="left"/>
      </w:pPr>
      <w:r>
        <w:t>Am 9. Januar 2026, 02:17 Uhr, wurde ein Ransomware-Angriff auf das Thalvenia-Rechenzentrumssystem festgestellt. Die Erstmeldung an die BaFin erfolgte am 13. Januar 2026 — mithin rd. 96 Stunden nach Kenntniserlangung. Dies ist ein klares Fristversäumnis nach BAIT Tz. 55. Die BaFin wertet dies als erhebliche Pflichtverletzung.</w:t>
      </w:r>
    </w:p>
    <w:p>
      <w:pPr>
        <w:jc w:val="left"/>
      </w:pPr>
      <w:r>
        <w:rPr>
          <w:b/>
        </w:rPr>
        <w:t>Weitere BAIT-Schwachstellen:</w:t>
      </w:r>
    </w:p>
    <w:p>
      <w:pPr>
        <w:pStyle w:val="ListBullet"/>
      </w:pPr>
      <w:r>
        <w:t>Notfallkonzept (BAIT Tz. 49-54) zuletzt aktualisiert Oktober 2022; nicht MiCAR-konform.</w:t>
      </w:r>
    </w:p>
    <w:p>
      <w:pPr>
        <w:pStyle w:val="ListBullet"/>
      </w:pPr>
      <w:r>
        <w:t>Business Continuity Management: DR-Tests für das MPC-Signing-System wurden seit 18 Monaten nicht durchgeführt.</w:t>
      </w:r>
    </w:p>
    <w:p>
      <w:pPr>
        <w:pStyle w:val="ListBullet"/>
      </w:pPr>
      <w:r>
        <w:t>IT-Prüfbericht 2024 fehlt (Auflage aus Zulassung 2020, vgl. 02-historische-kryptoverwahrungslizenz-2020.md).</w:t>
      </w:r>
    </w:p>
    <w:p/>
    <w:p>
      <w:pPr>
        <w:pStyle w:val="Heading2"/>
      </w:pPr>
      <w:r>
        <w:rPr>
          <w:rFonts w:ascii="Times New Roman" w:hAnsi="Times New Roman"/>
        </w:rPr>
        <w:t>Schwerpunkt 3: Marktintegrität</w:t>
      </w:r>
    </w:p>
    <w:p>
      <w:pPr>
        <w:jc w:val="left"/>
      </w:pPr>
      <w:r>
        <w:t>Die BaFin-Prüfteammitglieder haben Rolf Sandkamp (Marktintegrität) einem gesonderten Prüfungsbereich zugewiesen, der sich um Handelsaktivitäten der Bank in Token TN dreht. Dieser Schwerpunkt hängt zusammen mit dem FIU-Verfahren (vgl. 10-suspicious-transaction-reports-fiu.md) und dem MAR-Marktmissbrauchsvorwurf (vgl. 11-mar-marktmissbrauch-vorwurf-token-tn.md).</w:t>
      </w:r>
    </w:p>
    <w:p/>
    <w:p>
      <w:pPr>
        <w:pStyle w:val="Heading2"/>
      </w:pPr>
      <w:r>
        <w:rPr>
          <w:rFonts w:ascii="Times New Roman" w:hAnsi="Times New Roman"/>
        </w:rPr>
        <w:t>Schwerpunkt 4: Organisationspflichten MaRisk</w:t>
      </w:r>
    </w:p>
    <w:p>
      <w:pPr>
        <w:jc w:val="left"/>
      </w:pPr>
      <w:r>
        <w:t>Die MaRisk BA 2024 (BaFin-Rundschreiben 05/2024 BA) gelten für Kreditinstitute i.S.d. KWG, also auch für Thalvenia. Die Prüfer haben signalisiert, dass sie folgende Bereiche untersuchen:</w:t>
      </w:r>
    </w:p>
    <w:p>
      <w:pPr>
        <w:pStyle w:val="ListBullet"/>
      </w:pPr>
      <w:r>
        <w:t>AT 4.3.2: Klare Aufgaben- und Kompetenzverteilung; insbesondere die Abgrenzung zwischen CCO (Compliance/AML) und CRO (Risiko) in Bezug auf Kryptoverwahrungsrisiken.</w:t>
      </w:r>
    </w:p>
    <w:p>
      <w:pPr>
        <w:pStyle w:val="ListBullet"/>
      </w:pPr>
      <w:r>
        <w:t>AT 7.1: Strategischer Rahmen IT (konsistent mit BAIT).</w:t>
      </w:r>
    </w:p>
    <w:p>
      <w:pPr>
        <w:pStyle w:val="ListBullet"/>
      </w:pPr>
      <w:r>
        <w:t>BTO 3: Geschäftsbezogene Anforderungen an Handelsgeschäfte — erstmals auf Kryptowertehandel angewendet.</w:t>
      </w:r>
    </w:p>
    <w:p/>
    <w:p>
      <w:pPr>
        <w:pStyle w:val="Heading2"/>
      </w:pPr>
      <w:r>
        <w:rPr>
          <w:rFonts w:ascii="Times New Roman" w:hAnsi="Times New Roman"/>
        </w:rPr>
        <w:t>Gesamtbewertung</w:t>
      </w:r>
    </w:p>
    <w:p>
      <w:pPr>
        <w:jc w:val="left"/>
      </w:pPr>
      <w:r>
        <w:t>Das Prüfungsprogramm ist umfassend und das Risiko einer erheblichen Beanstandung hoch. Nach erster Einschätzung der Kanzlei ist mit mindestens einem schwerwiegenden Befund (BAIT/Cybervorfall), einem mittelschweren Befund (KYC/PEP) und einem noch unklaren Befund (MAR/Token TN) zu rechnen. Die Remediation-Strategie muss alle Schwerpunkte adressieren, bevor der Anhörungstermin am 14. Juli 2026 stattfindet.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Bezug: BaFin-Prüfung VBS 4 1 7-K-22-188/2026</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Bezug: BaFin-Prüfung VBS 4 1 7-K-22-188/2026</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