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Individual-Strafverfahren gegen den Vorstand</w:t>
      </w:r>
    </w:p>
    <w:p>
      <w:pPr>
        <w:jc w:val="left"/>
      </w:pPr>
      <w:r>
        <w:rPr>
          <w:b/>
        </w:rPr>
        <w:t>Beschuldigter:</w:t>
      </w:r>
      <w:r>
        <w:t xml:space="preserve"> Dr. Lasse Tannenfels (CCO der Thalvenia Bank AG)</w:t>
      </w:r>
    </w:p>
    <w:p>
      <w:pPr>
        <w:jc w:val="left"/>
      </w:pPr>
      <w:r>
        <w:rPr>
          <w:b/>
        </w:rPr>
        <w:t>Staatsanwaltschaft:</w:t>
      </w:r>
      <w:r>
        <w:t xml:space="preserve"> Stuttgart, Az. 13 Js 4481/26</w:t>
      </w:r>
    </w:p>
    <w:p>
      <w:pPr>
        <w:jc w:val="left"/>
      </w:pPr>
      <w:r>
        <w:rPr>
          <w:b/>
        </w:rPr>
        <w:t>Tatvorwurf:</w:t>
      </w:r>
      <w:r>
        <w:t xml:space="preserve"> Verdacht der Geldwäsche (§ 261 StGB)</w:t>
      </w:r>
    </w:p>
    <w:p>
      <w:pPr>
        <w:jc w:val="left"/>
      </w:pPr>
      <w:r>
        <w:rPr>
          <w:b/>
        </w:rPr>
        <w:t>Ermittlungsbeginn:</w:t>
      </w:r>
      <w:r>
        <w:t xml:space="preserve"> Februar 2026</w:t>
      </w:r>
    </w:p>
    <w:p>
      <w:pPr>
        <w:jc w:val="left"/>
      </w:pPr>
      <w:r>
        <w:rPr>
          <w:b/>
        </w:rPr>
        <w:t>Strafverteidigerin:</w:t>
      </w:r>
      <w:r>
        <w:t xml:space="preserve"> RAin Dr. Franziska Oberkampf-Heyden, Frankfurt (getrennt mandatiert)</w:t>
      </w:r>
    </w:p>
    <w:p/>
    <w:p>
      <w:pPr>
        <w:pStyle w:val="Heading2"/>
      </w:pPr>
      <w:r>
        <w:rPr>
          <w:rFonts w:ascii="Times New Roman" w:hAnsi="Times New Roman"/>
        </w:rPr>
        <w:t>Sachverhalt nach Aktenlage</w:t>
      </w:r>
    </w:p>
    <w:p>
      <w:pPr>
        <w:jc w:val="left"/>
      </w:pPr>
      <w:r>
        <w:t>Die Staatsanwaltschaft Stuttgart ermittelt gegen Dr. Tannenfels aufgrund eines anonymen Hinweises, der im Dezember 2025 bei der FIU und anschließend bei der Staatsanwaltschaft einging. Der Hinweis behauptete, Dr. Tannenfels habe gewusst, dass Transaktionen des Kunden HR-07 aus krimineller Vortat (mutmaßlich Bestechung im Ausland, § 334 StGB) herrührten, diese Transaktionen aber nicht der FIU gemeldet.</w:t>
      </w:r>
    </w:p>
    <w:p/>
    <w:p>
      <w:pPr>
        <w:pStyle w:val="Heading2"/>
      </w:pPr>
      <w:r>
        <w:rPr>
          <w:rFonts w:ascii="Times New Roman" w:hAnsi="Times New Roman"/>
        </w:rPr>
        <w:t>Tatbestand § 261 StGB</w:t>
      </w:r>
    </w:p>
    <w:p>
      <w:pPr>
        <w:jc w:val="left"/>
      </w:pPr>
      <w:r>
        <w:t>§ 261 StGB (Geldwäsche) setzt in der aktuellen Fassung (seit GwG-Novelle 2021 "All-Crime-Ansatz") voraus:</w:t>
      </w:r>
    </w:p>
    <w:p>
      <w:pPr>
        <w:pStyle w:val="ListBullet"/>
      </w:pPr>
      <w:r>
        <w:t>Einen Vermögensgegenstand, der aus einer rechtswidrigen Tat herrührt (Vortatunabhängigkeit: alle rechtswidrigen Taten qualifizieren als Vortat)</w:t>
      </w:r>
    </w:p>
    <w:p>
      <w:pPr>
        <w:pStyle w:val="ListBullet"/>
      </w:pPr>
      <w:r>
        <w:t>Verbergen, Verschleiern, Ermöglichen des Verdeckens oder Nichtmelden trotz gesetzlicher Pflicht (§ 261 Abs. 1 S. 1 StGB)</w:t>
      </w:r>
    </w:p>
    <w:p>
      <w:pPr>
        <w:jc w:val="left"/>
      </w:pPr>
      <w:r>
        <w:t>Der Vorwurf gegen Dr. Tannenfels lautet konkret: Er habe als Geldwäschebeauftragter Kenntnis von der möglichen kriminellen Herkunft von Geldern des HR-07 gehabt (aufgrund interner Analyse-Vermerke), die Meldung nach § 43 GwG aber pflichtwidrig unterlassen und damit das Verbergen der Herkunft ermöglicht.</w:t>
      </w:r>
    </w:p>
    <w:p/>
    <w:p>
      <w:pPr>
        <w:pStyle w:val="Heading2"/>
      </w:pPr>
      <w:r>
        <w:rPr>
          <w:rFonts w:ascii="Times New Roman" w:hAnsi="Times New Roman"/>
        </w:rPr>
        <w:t>§ 54a KWG — Strafbarkeit von Bankvorständen</w:t>
      </w:r>
    </w:p>
    <w:p>
      <w:pPr>
        <w:jc w:val="left"/>
      </w:pPr>
      <w:r>
        <w:t>Zusätzlich prüft die Staatsanwaltschaft eine mögliche Strafbarkeit nach § 54a KWG (Gefährdung der Solidität des Instituts). § 54a Abs. 1 KWG stellt unter Strafe, wer entgegen einer vollziehbaren Anordnung der BaFin handelt. Da die BaFin noch keine Anordnung erlassen hat, scheidet § 54a KWG derzeit aus. Sollte die BaFin nach dem Abschluss der Sonderprüfung eine Anordnung nach § 25a KWG erlassen und das Institut dieser nicht nachkommen, könnte § 54a KWG relevant werden.</w:t>
      </w:r>
    </w:p>
    <w:p/>
    <w:p>
      <w:pPr>
        <w:pStyle w:val="Heading2"/>
      </w:pPr>
      <w:r>
        <w:rPr>
          <w:rFonts w:ascii="Times New Roman" w:hAnsi="Times New Roman"/>
        </w:rPr>
        <w:t>Interessenkonflikt und Trennungsgebot</w:t>
      </w:r>
    </w:p>
    <w:p>
      <w:pPr>
        <w:jc w:val="left"/>
      </w:pPr>
      <w:r>
        <w:t>Der Interessenkonflikt zwischen Dr. Tannenfels als Beschuldigtem und dem Institut ist erheblich:</w:t>
      </w:r>
    </w:p>
    <w:p>
      <w:pPr>
        <w:pStyle w:val="ListBullet"/>
      </w:pPr>
      <w:r>
        <w:t>Als CCO ist Dr. Tannenfels noch im Amt (Stand Juli 2026). Der Aufsichtsrat hat noch keine Abberufung beschlossen.</w:t>
      </w:r>
    </w:p>
    <w:p>
      <w:pPr>
        <w:pStyle w:val="ListBullet"/>
      </w:pPr>
      <w:r>
        <w:t>Das Institut hat ein Eigeninteresse daran, gegenüber der BaFin zu betonen, dass AML-Entscheidungen nach einem ordnungsgemäßen Prozess getroffen wurden.</w:t>
      </w:r>
    </w:p>
    <w:p>
      <w:pPr>
        <w:pStyle w:val="ListBullet"/>
      </w:pPr>
      <w:r>
        <w:t>Dr. Tannenfels hat als Beschuldigter ein Schweigerecht (§ 136 StPO).</w:t>
      </w:r>
    </w:p>
    <w:p>
      <w:pPr>
        <w:pStyle w:val="ListBullet"/>
      </w:pPr>
      <w:r>
        <w:t>Jede Aussage des Instituts gegenüber der BaFin, die auf interne Analysen des CCO abstellt, könnte strafprozessual gegen Dr. Tannenfels verwendet werden.</w:t>
      </w:r>
    </w:p>
    <w:p>
      <w:pPr>
        <w:jc w:val="left"/>
      </w:pPr>
      <w:r>
        <w:rPr>
          <w:b/>
        </w:rPr>
        <w:t>Konsequenz:</w:t>
      </w:r>
      <w:r>
        <w:t xml:space="preserve"> Schwertbeck Roosendaal und RAin Dr. Oberkampf-Heyden haben vereinbart, dass alle Aussagen des Instituts gegenüber der BaFin, die sich auf Handlungen von Dr. Tannenfels beziehen, mit Dr. Oberkampf-Heyden abgestimmt werden. Dr. Tannenfels wird in der Stellungnahme an die BaFin nicht namentlich als Verantwortlicher für konkrete AML-Entscheidungen benannt.</w:t>
      </w:r>
    </w:p>
    <w:p/>
    <w:p>
      <w:pPr>
        <w:pStyle w:val="Heading2"/>
      </w:pPr>
      <w:r>
        <w:rPr>
          <w:rFonts w:ascii="Times New Roman" w:hAnsi="Times New Roman"/>
        </w:rPr>
        <w:t>Aufsichtsrechtliche Parallelprüfung: § 33 KWG — Eignung</w:t>
      </w:r>
    </w:p>
    <w:p>
      <w:pPr>
        <w:jc w:val="left"/>
      </w:pPr>
      <w:r>
        <w:t>Unabhängig vom Strafverfahren kann die BaFin nach § 33 Abs. 1 S. 1 Nr. 2 KWG die Zuverlässigkeit des CCO neu bewerten, wenn Tatsachen bekannt werden, die eine Unzuverlässigkeit begründen. Ein laufendes Ermittlungsverfahren begründet noch keine Unzuverlässigkeit, kann aber die BaFin zu einer Befragung veranlassen.</w:t>
      </w:r>
    </w:p>
    <w:p>
      <w:pPr>
        <w:jc w:val="left"/>
      </w:pPr>
      <w:r>
        <w:t>Der Aufsichtsrat hat sich darauf verständigt, Dr. Tannenfels bis zum Abschluss des Strafverfahrens im Amt zu belassen, aber seine operativen Befugnisse auf das Notwendige zu beschränken; die FIU-Kommunikation ist auf Dr. Glock-Meinhard (externe Kanzlei) und Dr. Miriam Hoffrath-Seel (Leiterin Rechtsabteilung) übertragen worden.</w:t>
      </w:r>
    </w:p>
    <w:p/>
    <w:p>
      <w:pPr>
        <w:pStyle w:val="Heading2"/>
      </w:pPr>
      <w:r>
        <w:rPr>
          <w:rFonts w:ascii="Times New Roman" w:hAnsi="Times New Roman"/>
        </w:rPr>
        <w:t>Risikobewertung</w:t>
      </w:r>
    </w:p>
    <w:p>
      <w:pPr>
        <w:jc w:val="left"/>
      </w:pPr>
      <w:r>
        <w:t>Die Kanzlei bewertet das Strafverfahren als ernstzunehmendes, aber beherrschbares Risiko. Kernfrage ist, ob die Staatsanwaltschaft nachweisen kann, dass Dr. Tannenfels positive Kenntnis von der kriminellen Herkunft der HR-07-Gelder hatte. Die Akte zeigt bislang interne Vermerke, die Zweifel an der Mittelherkunft dokumentieren, aber keine definitiv-positive Kenntnis belegen.</w:t>
      </w:r>
    </w:p>
    <w:p>
      <w:pPr>
        <w:jc w:val="left"/>
      </w:pPr>
      <w:r>
        <w:rPr>
          <w:b/>
        </w:rPr>
        <w:t>Vgl.:</w:t>
      </w:r>
      <w:r>
        <w:t xml:space="preserve"> 10-suspicious-transaction-reports-fiu.md; 15-zustaendigkeitsabgrenzung-bafin-fiu-bnetza.md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Thalvenia 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Thalvenia Bank AG</w:t>
    </w:r>
  </w:p>
  <w:p>
    <w:pPr>
      <w:jc w:val="left"/>
      <w:pBdr>
        <w:bottom w:val="single" w:sz="6" w:space="2" w:color="8A6A1F"/>
      </w:pBdr>
    </w:pPr>
    <w:r>
      <w:rPr>
        <w:rFonts w:ascii="Times New Roman" w:hAnsi="Times New Roman"/>
        <w:color w:val="6B6B66"/>
        <w:sz w:val="16"/>
      </w:rPr>
      <w:t>Unternehmen · Az. 13 Js 4481/26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