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20 — Bericht an den Aufsichtsrat</w:t>
      </w:r>
    </w:p>
    <w:p>
      <w:pPr>
        <w:jc w:val="left"/>
      </w:pPr>
      <w:r>
        <w:rPr>
          <w:b/>
        </w:rPr>
        <w:t>Adressat:</w:t>
      </w:r>
      <w:r>
        <w:t xml:space="preserve"> Aufsichtsrat der Thalvenia Bank AG</w:t>
      </w:r>
    </w:p>
    <w:p>
      <w:pPr>
        <w:jc w:val="left"/>
      </w:pPr>
      <w:r>
        <w:rPr>
          <w:b/>
        </w:rPr>
        <w:t>Verfasser:</w:t>
      </w:r>
      <w:r>
        <w:t xml:space="preserve"> Vorstand der Thalvenia Bank AG (CEO Dr. Thalheim-Lattermann, COO Vellbruck, CRO Dr. Birkenhainer)</w:t>
      </w:r>
    </w:p>
    <w:p>
      <w:pPr>
        <w:jc w:val="left"/>
      </w:pPr>
      <w:r>
        <w:rPr>
          <w:b/>
        </w:rPr>
        <w:t>Kanzleibegleitung:</w:t>
      </w:r>
      <w:r>
        <w:t xml:space="preserve"> Prof. Dr. Heinrich Schwertbeck</w:t>
      </w:r>
    </w:p>
    <w:p>
      <w:pPr>
        <w:jc w:val="left"/>
      </w:pPr>
      <w:r>
        <w:rPr>
          <w:b/>
        </w:rPr>
        <w:t>Datum:</w:t>
      </w:r>
      <w:r>
        <w:t xml:space="preserve"> 1. August 2026</w:t>
      </w:r>
    </w:p>
    <w:p>
      <w:pPr>
        <w:jc w:val="left"/>
      </w:pPr>
      <w:r>
        <w:rPr>
          <w:b/>
        </w:rPr>
        <w:t>Anlass:</w:t>
      </w:r>
      <w:r>
        <w:t xml:space="preserve"> Außerordentliche AR-Sitzung 5. August 2026</w:t>
      </w:r>
    </w:p>
    <w:p/>
    <w:p>
      <w:pPr>
        <w:pStyle w:val="Heading2"/>
      </w:pPr>
      <w:r>
        <w:rPr>
          <w:rFonts w:ascii="Times New Roman" w:hAnsi="Times New Roman"/>
        </w:rPr>
        <w:t>I. Zusammenfassung für den Aufsichtsrat</w:t>
      </w:r>
    </w:p>
    <w:p>
      <w:pPr>
        <w:jc w:val="left"/>
      </w:pPr>
      <w:r>
        <w:t>Der Vorstand informiert den Aufsichtsrat über den Stand der BaFin-Sonderprüfung VBS 4 1 7-K-22-188/2026, das FIU-Verfahren 2026-FIU-7711-TN, das Strafverfahren gegen CCO Dr. Tannenfels und die MiCAR-Übergangslizenz. Die Gesamtlage ist ernst, aber beherrschbar. Das Institut hat umfangreiche Remediation-Maßnahmen ergriffen; die Kerndienstleistungen sind nicht unterbrochen.</w:t>
      </w:r>
    </w:p>
    <w:p/>
    <w:p>
      <w:pPr>
        <w:pStyle w:val="Heading2"/>
      </w:pPr>
      <w:r>
        <w:rPr>
          <w:rFonts w:ascii="Times New Roman" w:hAnsi="Times New Roman"/>
        </w:rPr>
        <w:t>II. Pflichten des Aufsichtsrats nach § 25d KWG und § 90 AktG</w:t>
      </w:r>
    </w:p>
    <w:p>
      <w:pPr>
        <w:pStyle w:val="Heading3"/>
      </w:pPr>
      <w:r>
        <w:rPr>
          <w:rFonts w:ascii="Times New Roman" w:hAnsi="Times New Roman"/>
        </w:rPr>
        <w:t>§ 25d KWG — Aufsichtsrat und Risikoausschuss</w:t>
      </w:r>
    </w:p>
    <w:p>
      <w:pPr>
        <w:jc w:val="left"/>
      </w:pPr>
      <w:r>
        <w:t>§ 25d KWG stellt besondere Anforderungen an die Qualifikation von Aufsichtsratsmitgliedern bei Kreditinstituten und verpflichtet zur Einrichtung eines Risikoausschusses (§ 25d Abs. 8 KWG). Der Risikoausschuss der Thalvenia Bank AG besteht aus:</w:t>
      </w:r>
    </w:p>
    <w:p>
      <w:pPr>
        <w:pStyle w:val="ListBullet"/>
      </w:pPr>
      <w:r>
        <w:t>Klaus-Dieter Henfling (AR-Vorsitzender, Bankkaufmann mit Erfahrung im Retail-Banking)</w:t>
      </w:r>
    </w:p>
    <w:p>
      <w:pPr>
        <w:pStyle w:val="ListBullet"/>
      </w:pPr>
      <w:r>
        <w:t>Prof. Dr. Elke Strauch-Metzner (Professorin für Bankrecht, Uni Mainz)</w:t>
      </w:r>
    </w:p>
    <w:p>
      <w:pPr>
        <w:pStyle w:val="ListBullet"/>
      </w:pPr>
      <w:r>
        <w:t>Dietmar Kohlfurter (ehemaliger Leiter IT-Sicherheit eines DAX-Unternehmens)</w:t>
      </w:r>
    </w:p>
    <w:p>
      <w:pPr>
        <w:pStyle w:val="Heading3"/>
      </w:pPr>
      <w:r>
        <w:rPr>
          <w:rFonts w:ascii="Times New Roman" w:hAnsi="Times New Roman"/>
        </w:rPr>
        <w:t>§ 90 AktG — Berichtspflichten des Vorstands</w:t>
      </w:r>
    </w:p>
    <w:p>
      <w:pPr>
        <w:jc w:val="left"/>
      </w:pPr>
      <w:r>
        <w:t>Der Vorstand ist nach § 90 Abs. 1 Nr. 4 AktG verpflichtet, dem Aufsichtsrat über Geschäfte zu berichten, die für die Rentabilität oder Liquidität der Gesellschaft von erheblicher Bedeutung sein können. Die BaFin-Prüfung mit möglichem Bußgeld bis zu EUR 5 Mio. und das Risiko des MiCAR-Zulassungsversagens sind solche Geschäfte.</w:t>
      </w:r>
    </w:p>
    <w:p/>
    <w:p>
      <w:pPr>
        <w:pStyle w:val="Heading2"/>
      </w:pPr>
      <w:r>
        <w:rPr>
          <w:rFonts w:ascii="Times New Roman" w:hAnsi="Times New Roman"/>
        </w:rPr>
        <w:t>III. Aktuelle Lage (Stand 1. August 2026)</w:t>
      </w:r>
    </w:p>
    <w:p>
      <w:pPr>
        <w:pStyle w:val="Heading3"/>
      </w:pPr>
      <w:r>
        <w:rPr>
          <w:rFonts w:ascii="Times New Roman" w:hAnsi="Times New Roman"/>
        </w:rPr>
        <w:t>A. BaFin-Sonderprüfung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Aspekt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Prüfung abgeschlossen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(30. Juni 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Anhörungsschreiben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 Juli 2026 erhalten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Stellungnahme eingereicht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 Juli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Mögliches Bußgeld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EUR 1,5 Mio. bis EUR 5 Mio.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Mögliche § 25a KWG-Anordnung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Wahrscheinlich; Umfang begrenzt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B. MiCAR-Zulassung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Aspekt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eingereicht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 November 2024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Vollständigkeitsbescheinigung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20. Januar 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Erwartete Entscheidung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Q4 2026 (nach BaFin-Bescheid)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Risiko Versagung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 (bei gutem Settlement: niedrig)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C. FIU-Verfahren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Aspekt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Auskunftsersuchen beantwortet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 März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Laufende FIU-Analyse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Unbekannt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Risiko Strafanzeige an StA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D. Strafverfahren Dr. Tannenfels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Aspekt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Ermittlungsverfahren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Eingeleitet Februar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Getrennte Strafverteidigung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Oberkampf-Heyden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Amt-/Abberufungsfrage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AR-Entscheidung ausstehend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IV. D&amp;O-Risiko</w:t>
      </w:r>
    </w:p>
    <w:p>
      <w:pPr>
        <w:jc w:val="left"/>
      </w:pPr>
      <w:r>
        <w:t>Der Aufsichtsrat muss prüfen, ob Vorstandsmitglieder persönliche Haftungsrisiken aus der Sonderprüfung tragen. Die D&amp;O-Versicherung (Versicherungssumme EUR 50 Mio.) wurde durch Willis Towers Watson zur Prüfung übermittelt. Erste Einschätzung des Versicherers: AML-Versäumnisse sind grundsätzlich nicht vom D&amp;O-Ausschluss für wissentliche Pflichtverletzungen erfasst, solange kein Vorsatz nachgewiesen ist.</w:t>
      </w:r>
    </w:p>
    <w:p/>
    <w:p>
      <w:pPr>
        <w:pStyle w:val="Heading2"/>
      </w:pPr>
      <w:r>
        <w:rPr>
          <w:rFonts w:ascii="Times New Roman" w:hAnsi="Times New Roman"/>
        </w:rPr>
        <w:t>V. Empfehlung des Vorstands an den Aufsichtsrat</w:t>
      </w:r>
    </w:p>
    <w:p>
      <w:pPr>
        <w:pStyle w:val="ListNumber"/>
      </w:pPr>
      <w:r>
        <w:t>Ermächtigung zur Führung von Settlement-Verhandlungen mit der BaFin.</w:t>
      </w:r>
    </w:p>
    <w:p>
      <w:pPr>
        <w:pStyle w:val="ListNumber"/>
      </w:pPr>
      <w:r>
        <w:t>Beschluss über Beauftragung KPMG als externe AML-Prüferin.</w:t>
      </w:r>
    </w:p>
    <w:p>
      <w:pPr>
        <w:pStyle w:val="ListNumber"/>
      </w:pPr>
      <w:r>
        <w:t>Erörterung der Abberufungsfrage CCO Dr. Tannenfels.</w:t>
      </w:r>
    </w:p>
    <w:p>
      <w:pPr>
        <w:pStyle w:val="ListNumber"/>
      </w:pPr>
      <w:r>
        <w:t>Kenntnisnahme der Remediation-Roadmap (100 Tage).</w:t>
      </w:r>
    </w:p>
    <w:p>
      <w:pPr>
        <w:pStyle w:val="ListNumber"/>
      </w:pPr>
      <w:r>
        <w:t>Freigabe der Pressemitteilung nach BaFin-Entscheid.</w:t>
      </w:r>
    </w:p>
    <w:p>
      <w:pPr>
        <w:jc w:val="left"/>
      </w:pPr>
      <w:r>
        <w:rPr>
          <w:b/>
        </w:rPr>
        <w:t>Vgl.:</w:t>
      </w:r>
      <w:r>
        <w:t xml:space="preserve"> 21-roadmap-remediation-100-tage.md; 18-strategie-vergleichsangebot-bafin.md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Thalvenia Bank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Thalvenia Bank AG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