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21 — Remediation-Roadmap: 100-Tage-Plan</w:t>
      </w:r>
    </w:p>
    <w:p>
      <w:pPr>
        <w:jc w:val="left"/>
      </w:pPr>
      <w:r>
        <w:rPr>
          <w:b/>
        </w:rPr>
        <w:t>Planungsbeginn:</w:t>
      </w:r>
      <w:r>
        <w:t xml:space="preserve"> 1. August 2026</w:t>
      </w:r>
    </w:p>
    <w:p>
      <w:pPr>
        <w:jc w:val="left"/>
      </w:pPr>
      <w:r>
        <w:rPr>
          <w:b/>
        </w:rPr>
        <w:t>Planungsende (100 Tage):</w:t>
      </w:r>
      <w:r>
        <w:t xml:space="preserve"> 9. November 2026</w:t>
      </w:r>
    </w:p>
    <w:p>
      <w:pPr>
        <w:jc w:val="left"/>
      </w:pPr>
      <w:r>
        <w:rPr>
          <w:b/>
        </w:rPr>
        <w:t>Verantwortlich:</w:t>
      </w:r>
      <w:r>
        <w:t xml:space="preserve"> CRO Dr. Annegret Birkenhainer (Overall Lead), CCO Dr. Tannenfels (soweit im Amt)</w:t>
      </w:r>
    </w:p>
    <w:p>
      <w:pPr>
        <w:jc w:val="left"/>
      </w:pPr>
      <w:r>
        <w:rPr>
          <w:b/>
        </w:rPr>
        <w:t>Kanzleibegleitung:</w:t>
      </w:r>
      <w:r>
        <w:t xml:space="preserve"> Schwertbeck Roosendaal mbB</w:t>
      </w:r>
    </w:p>
    <w:p>
      <w:pPr>
        <w:jc w:val="left"/>
      </w:pPr>
      <w:r>
        <w:rPr>
          <w:b/>
        </w:rPr>
        <w:t>Koordination extern:</w:t>
      </w:r>
      <w:r>
        <w:t xml:space="preserve"> KPMG AG (AML-Prüfung ab September 2026)</w:t>
      </w:r>
    </w:p>
    <w:p/>
    <w:p>
      <w:pPr>
        <w:pStyle w:val="Heading2"/>
      </w:pPr>
      <w:r>
        <w:rPr>
          <w:rFonts w:ascii="Times New Roman" w:hAnsi="Times New Roman"/>
        </w:rPr>
        <w:t>Überblick: Meilensteine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Meilenstein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M1: AML-Sofortmaßnahmen abgeschlossen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31. August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CCO / Legal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 Bearbeitung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M2: IT-Prüfbericht 2024 vorgelegt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 September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CTO Magnus Thorvaldsson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Beauftragung abgeschlossen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M3: KPMG-Erstbericht AML-Prüfung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31. Oktober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KPMG / CRO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Beauftragung abgeschlossen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M4: MiCAR-Compliance vollständig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31. Oktober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CCO / Legal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 Planung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M5: Settlement-Einigung BaFin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Oktober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Kanzlei / CEO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Verhandlungen Oktober 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M6: Abschlussbericht Remediation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9. November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CRO / Kanzlei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Ausstehend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Detailplan nach Themenbereichen</w:t>
      </w:r>
    </w:p>
    <w:p>
      <w:pPr>
        <w:pStyle w:val="Heading3"/>
      </w:pPr>
      <w:r>
        <w:rPr>
          <w:rFonts w:ascii="Times New Roman" w:hAnsi="Times New Roman"/>
        </w:rPr>
        <w:t>Bereich 1: AML / GwG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Aufgabe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Risikoanalyse § 5 GwG aktualisiert und genehmigt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Abgeschlossen 30.06.2026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Abgeschlossen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KYC-Nacherfüllung HR-03, HR-07, HR-09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Abgeschlossen 30.06.2026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Abgeschlossen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KYC-Nacherfüllung HR-11, HR-19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31.08.2026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 Bearbeitung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PEP-Datenbank SymphonyAI Tier 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Abgeschlossen April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Abgeschlossen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Retrograde PEP-Überprüfung (alle HR-Kunden)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Abgeschlossen Mai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Abgeschlossen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AML-Schulung 100 % Abdeckung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Abgeschlossen Juni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Abgeschlossen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Überarbeitung Monitoring-Regelwerk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31.08.2026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 Bearbeitung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Vertretungsregelung Geldwäschebeauftragter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15.08.2026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AML-Handbuch v3.4 verabschiedet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30.09.2026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Geplant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KPMG externe Prüfung abgeschlossen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31.10.2026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Geplant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Bereich 2: IT-Sicherheit / BAIT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Aufgabe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FortiGate VPN-Patch (Notfallpatch)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Abgeschlossen 10.01.2026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Abgeschlossen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SOC-Eskalationsprozess überarbeitet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Abgeschlossen Februar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Abgeschlossen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BAIT-Notfallkonzept überarbeitet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Abgeschlossen Juli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Abgeschlossen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IT-Prüfbericht 2024 vorgelegt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15.09.2026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 Beauftragung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BCM-Test MPC-Signing-System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30.09.2026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Geplant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Schwachstellen-SLA (72h Patch) formalisiert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Abgeschlossen Juli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Abgeschlossen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Bereich 3: MaRisk / Governance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Aufgabe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NPP-Prozess Token TN nachgeholt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Abgeschlossen April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Abgeschlossen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Eigenhandels-Limits Token TN definiert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Abgeschlossen April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Abgeschlossen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Token TN Eigenhandel eingestellt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Abgeschlossen August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Abgeschlossen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Zweivoten-System Kryptowerte-Handel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Abgeschlossen Juli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Abgeschlossen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Interessenkonflikt-Policy MiCAR Art. 72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31.08.2026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 Bearbeitung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Bereich 4: MiCAR-Compliance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Aufgabe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White Papers Token-Kategorien (3 ausstehend)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30.09.2026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Geplant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TFR-Compliance Travel Rule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31.10.2026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Geplant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MiCAR Art. 68 Governance-Dokumentation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31.10.2026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Geplant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KPI-Matrix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KPI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Ziel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Aktuell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Trend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KYC-Vollständigkeit Hochrisikokunden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100 %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75 %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Steigend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PEP-Screening-Abdeckung Tier 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100 %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100 %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Erfüllt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AML-Schulungsquote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100 %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100 %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Erfüllt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Offene kritische BAIT-Findings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Sinkend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Monitoring-Regelwerk-Aktualität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Aktuell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Veraltet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 Bearbeitung</w:t>
            </w:r>
          </w:p>
        </w:tc>
      </w:tr>
    </w:tbl>
    <w:p>
      <w:pPr>
        <w:jc w:val="left"/>
      </w:pPr>
      <w:r>
        <w:rPr>
          <w:b/>
        </w:rPr>
        <w:t>Vgl.:</w:t>
      </w:r>
      <w:r>
        <w:t xml:space="preserve"> 22-abschlussvermerk-anwalt.md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Schwertbeck Roosendaal mbB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2"/>
      </w:rPr>
      <w:t>SCHWERTBECK ROOSENDAAL MBB</w:t>
    </w:r>
  </w:p>
  <w:p>
    <w:pPr>
      <w:jc w:val="left"/>
      <w:pBdr>
        <w:bottom w:val="single" w:sz="8" w:space="2" w:color="7B2D3B"/>
      </w:pBdr>
    </w:pPr>
    <w:r>
      <w:rPr>
        <w:rFonts w:ascii="Times New Roman" w:hAnsi="Times New Roman"/>
        <w:color w:val="6B6B66"/>
        <w:sz w:val="16"/>
      </w:rPr>
      <w:t>Rechtsanwaltskanzlei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