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Vorlage für den Gemeinderat — Arbeitsstand</w:t>
      </w:r>
    </w:p>
    <w:p>
      <w:pPr>
        <w:pStyle w:val="Heading2"/>
      </w:pPr>
      <w:r>
        <w:rPr>
          <w:rFonts w:ascii="Times New Roman" w:hAnsi="Times New Roman"/>
        </w:rPr>
        <w:t>Beschlussgegenstand</w:t>
      </w:r>
    </w:p>
    <w:p>
      <w:pPr>
        <w:jc w:val="left"/>
      </w:pPr>
      <w:r>
        <w:t>Die Gemeinde soll die Aufstellung eines Bebauungsplans 'Sondergebiet Energie- und Speicherinfrastruktur Märkische Reserve Süd' beschließen. Gleichzeitig soll die Verwaltung beauftragt werden, einen städtebaulichen Vertrag vorzubereiten.</w:t>
      </w:r>
    </w:p>
    <w:p>
      <w:pPr>
        <w:pStyle w:val="Heading2"/>
      </w:pPr>
      <w:r>
        <w:rPr>
          <w:rFonts w:ascii="Times New Roman" w:hAnsi="Times New Roman"/>
        </w:rPr>
        <w:t>Politischer Text im Entwurf</w:t>
      </w:r>
    </w:p>
    <w:p>
      <w:pPr>
        <w:jc w:val="left"/>
      </w:pPr>
      <w:r>
        <w:t>Der Entwurf behauptet, der Speicher sichere 'die Stromversorgung Berlins für mehrere Tage'. Diese Formulierung ist in der Projektakte nicht gedeckt. Zulässig wäre eine vorsichtigere Darstellung: Der Speicher kann bei entsprechender Systemeinbindung zur Versorgungssicherheit, Netzstabilisierung und Krisenresilienz beitragen; Umfang, Dauer und Einsatzbedingungen hängen von Netzanschluss, Ladezustand, Lastprofil, Redispatch-/Systemdienstleistungsregeln und behördlichen Krisenplänen ab.</w:t>
      </w:r>
    </w:p>
    <w:p>
      <w:pPr>
        <w:pStyle w:val="Heading2"/>
      </w:pPr>
      <w:r>
        <w:rPr>
          <w:rFonts w:ascii="Times New Roman" w:hAnsi="Times New Roman"/>
        </w:rPr>
        <w:t>Punkte für den städtebaulichen Vertrag</w:t>
      </w:r>
    </w:p>
    <w:p>
      <w:pPr>
        <w:pStyle w:val="ListBullet"/>
      </w:pPr>
      <w:r>
        <w:t>Kostentragung für Gutachten, Planverfahren und Erschließung.</w:t>
      </w:r>
    </w:p>
    <w:p>
      <w:pPr>
        <w:pStyle w:val="ListBullet"/>
      </w:pPr>
      <w:r>
        <w:t>Feuerwehrzufahrt, Löschwasser, Übungsbetrieb und Ausrüstung.</w:t>
      </w:r>
    </w:p>
    <w:p>
      <w:pPr>
        <w:pStyle w:val="ListBullet"/>
      </w:pPr>
      <w:r>
        <w:t>Rückbau- und Sicherheitsleistung.</w:t>
      </w:r>
    </w:p>
    <w:p>
      <w:pPr>
        <w:pStyle w:val="ListBullet"/>
      </w:pPr>
      <w:r>
        <w:t>Grünordnungs- und Ausgleichsmaßnahmen.</w:t>
      </w:r>
    </w:p>
    <w:p>
      <w:pPr>
        <w:pStyle w:val="ListBullet"/>
      </w:pPr>
      <w:r>
        <w:t>Bürgerinformation ohne Vorwegnahme der Abwägung.</w:t>
      </w:r>
    </w:p>
    <w:p>
      <w:pPr>
        <w:pStyle w:val="ListBullet"/>
      </w:pPr>
      <w:r>
        <w:t>Keine Zusage der Gemeinde zu Netzanschluss oder energiewirtschaftlicher Behandlung.</w:t>
      </w:r>
    </w:p>
    <w:p>
      <w:pPr>
        <w:pStyle w:val="Heading2"/>
      </w:pPr>
      <w:r>
        <w:rPr>
          <w:rFonts w:ascii="Times New Roman" w:hAnsi="Times New Roman"/>
        </w:rPr>
        <w:t>Offener Konflikt</w:t>
      </w:r>
    </w:p>
    <w:p>
      <w:pPr>
        <w:jc w:val="left"/>
      </w:pPr>
      <w:r>
        <w:t>Der Bürgermeister möchte die Gewerbesteuererwartung öffentlich nennen. Die Kämmerei warnt, dass die Projektgesellschaft wegen Finanzierung, Abschreibung und möglicher Verlustvorträge in den ersten Jahren keine nennenswerte Gewerbesteuer zahlen könnte.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Vorlage für den Gemeinderat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Vorlage für den Gemeinderat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