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AG-FB-01</w:t>
      </w:r>
    </w:p>
    <w:p>
      <w:r>
        <w:rPr>
          <w:rFonts w:ascii="Arial" w:hAnsi="Arial"/>
          <w:b/>
          <w:color w:val="0F5F66"/>
          <w:sz w:val="32"/>
        </w:rPr>
        <w:t>Bedarfsfeststellung und Grundlagenklärung LPH 1-2</w:t>
      </w:r>
    </w:p>
    <w:p>
      <w:r>
        <w:rPr>
          <w:rFonts w:ascii="Arial" w:hAnsi="Arial"/>
          <w:color w:val="505050"/>
          <w:sz w:val="20"/>
        </w:rPr>
        <w:t>A44 Ersatzneubau Talbrücke Fuchsbachtal und Tunnel Hirschleite</w:t>
      </w:r>
    </w:p>
    <w:p/>
    <w:p>
      <w:pPr>
        <w:spacing w:after="80"/>
      </w:pPr>
      <w:r>
        <w:rPr>
          <w:rFonts w:ascii="Arial" w:hAnsi="Arial"/>
          <w:b w:val="0"/>
          <w:sz w:val="20"/>
        </w:rPr>
        <w:t>Die Bestandsbrücke Fuchsbachtal weist nach dem Prüfbericht 2024 erhebliche Ermüdungsrisse im orthotropen Fahrbahnblech, Chlorideintrag an den Kappen und eine eingeschränkte Restnutzungsdauer auf. Der Tunnel Hirschleite wird erforderlich, weil die bisherige Hangtrasse im Bereich der Ortslage Wickerode nicht mehr lärmschutzverträglich verbreitert werden kann.</w:t>
      </w:r>
    </w:p>
    <w:p>
      <w:r>
        <w:rPr>
          <w:rFonts w:ascii="Arial" w:hAnsi="Arial"/>
          <w:b/>
          <w:color w:val="0F5F66"/>
          <w:sz w:val="24"/>
        </w:rPr>
        <w:t>Projektziel</w:t>
      </w:r>
    </w:p>
    <w:p>
      <w:pPr>
        <w:ind w:left="283" w:hanging="142"/>
      </w:pPr>
      <w:r>
        <w:rPr>
          <w:rFonts w:ascii="Arial" w:hAnsi="Arial"/>
          <w:sz w:val="20"/>
        </w:rPr>
        <w:t>• Vierstreifiger Ausbau mit Standstreifen auf 3.860 m Länge einschließlich 418 m Talbrücke und 612 m Tunnel.</w:t>
      </w:r>
    </w:p>
    <w:p>
      <w:pPr>
        <w:ind w:left="283" w:hanging="142"/>
      </w:pPr>
      <w:r>
        <w:rPr>
          <w:rFonts w:ascii="Arial" w:hAnsi="Arial"/>
          <w:sz w:val="20"/>
        </w:rPr>
        <w:t>• Aufrechterhaltung von zwei Fahrstreifen je Richtung in den Hauptreisezeiten; Sperrpausen nur nachts und an sechs Wochenenden.</w:t>
      </w:r>
    </w:p>
    <w:p>
      <w:pPr>
        <w:ind w:left="283" w:hanging="142"/>
      </w:pPr>
      <w:r>
        <w:rPr>
          <w:rFonts w:ascii="Arial" w:hAnsi="Arial"/>
          <w:sz w:val="20"/>
        </w:rPr>
        <w:t>• Vollständige Dokumentation der Bauüberwachung und Nachtragsbearbeitung, weil Fördermittel des Bundes an prüffähige Vergabe- und Bauakten gebunden sind.</w:t>
      </w:r>
    </w:p>
    <w:p>
      <w:pPr>
        <w:ind w:left="283" w:hanging="142"/>
      </w:pPr>
      <w:r>
        <w:rPr>
          <w:rFonts w:ascii="Arial" w:hAnsi="Arial"/>
          <w:sz w:val="20"/>
        </w:rPr>
        <w:t>• Schnittstellen zu DB-Leitungskorridor, Trinkwasserhauptleitung DN 600, FFH-Randfläche und kommunaler Umleitung über K 18.</w:t>
      </w:r>
    </w:p>
    <w:p>
      <w:r>
        <w:rPr>
          <w:rFonts w:ascii="Arial" w:hAnsi="Arial"/>
          <w:b/>
          <w:color w:val="0F5F66"/>
          <w:sz w:val="24"/>
        </w:rPr>
        <w:t>Offene Grundlagen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4F4"/>
            <w:vAlign w:val="top"/>
          </w:tcPr>
          <w:p>
            <w:r/>
            <w:r>
              <w:rPr>
                <w:rFonts w:ascii="Arial" w:hAnsi="Arial"/>
                <w:b/>
                <w:sz w:val="18"/>
              </w:rPr>
              <w:t>Thema</w:t>
            </w:r>
          </w:p>
        </w:tc>
        <w:tc>
          <w:tcPr>
            <w:tcW w:type="dxa" w:w="3324"/>
            <w:shd w:fill="F2F4F4"/>
            <w:vAlign w:val="top"/>
          </w:tcPr>
          <w:p>
            <w:r/>
            <w:r>
              <w:rPr>
                <w:rFonts w:ascii="Arial" w:hAnsi="Arial"/>
                <w:b/>
                <w:sz w:val="18"/>
              </w:rPr>
              <w:t>Stand</w:t>
            </w:r>
          </w:p>
        </w:tc>
        <w:tc>
          <w:tcPr>
            <w:tcW w:type="dxa" w:w="3324"/>
            <w:shd w:fill="F2F4F4"/>
            <w:vAlign w:val="top"/>
          </w:tcPr>
          <w:p>
            <w:r/>
            <w:r>
              <w:rPr>
                <w:rFonts w:ascii="Arial" w:hAnsi="Arial"/>
                <w:b/>
                <w:sz w:val="18"/>
              </w:rPr>
              <w:t>Risiko</w:t>
            </w:r>
          </w:p>
        </w:tc>
      </w:tr>
      <w:tr>
        <w:tc>
          <w:tcPr>
            <w:tcW w:type="dxa" w:w="3324"/>
            <w:vAlign w:val="top"/>
          </w:tcPr>
          <w:p>
            <w:r/>
            <w:r>
              <w:rPr>
                <w:rFonts w:ascii="Arial" w:hAnsi="Arial"/>
                <w:b w:val="0"/>
                <w:sz w:val="18"/>
              </w:rPr>
              <w:t>Baugrund</w:t>
            </w:r>
          </w:p>
        </w:tc>
        <w:tc>
          <w:tcPr>
            <w:tcW w:type="dxa" w:w="3324"/>
            <w:vAlign w:val="top"/>
          </w:tcPr>
          <w:p>
            <w:r/>
            <w:r>
              <w:rPr>
                <w:rFonts w:ascii="Arial" w:hAnsi="Arial"/>
                <w:b w:val="0"/>
                <w:sz w:val="18"/>
              </w:rPr>
              <w:t>Altbohrungen 2008, ergänzende Bohrungen nur bis Station 1+860 ausgewertet</w:t>
            </w:r>
          </w:p>
        </w:tc>
        <w:tc>
          <w:tcPr>
            <w:tcW w:type="dxa" w:w="3324"/>
            <w:vAlign w:val="top"/>
          </w:tcPr>
          <w:p>
            <w:r/>
            <w:r>
              <w:rPr>
                <w:rFonts w:ascii="Arial" w:hAnsi="Arial"/>
                <w:b w:val="0"/>
                <w:sz w:val="18"/>
              </w:rPr>
              <w:t>Quellfähige Tonsteine und Schichtwasser nicht abschließend bewertet</w:t>
            </w:r>
          </w:p>
        </w:tc>
      </w:tr>
      <w:tr>
        <w:tc>
          <w:tcPr>
            <w:tcW w:type="dxa" w:w="3324"/>
            <w:vAlign w:val="top"/>
          </w:tcPr>
          <w:p>
            <w:r/>
            <w:r>
              <w:rPr>
                <w:rFonts w:ascii="Arial" w:hAnsi="Arial"/>
                <w:b w:val="0"/>
                <w:sz w:val="18"/>
              </w:rPr>
              <w:t>Verkehr</w:t>
            </w:r>
          </w:p>
        </w:tc>
        <w:tc>
          <w:tcPr>
            <w:tcW w:type="dxa" w:w="3324"/>
            <w:vAlign w:val="top"/>
          </w:tcPr>
          <w:p>
            <w:r/>
            <w:r>
              <w:rPr>
                <w:rFonts w:ascii="Arial" w:hAnsi="Arial"/>
                <w:b w:val="0"/>
                <w:sz w:val="18"/>
              </w:rPr>
              <w:t>Verkehrszählung Mai 2025, Schwerverkehrsanteil 18 Prozent</w:t>
            </w:r>
          </w:p>
        </w:tc>
        <w:tc>
          <w:tcPr>
            <w:tcW w:type="dxa" w:w="3324"/>
            <w:vAlign w:val="top"/>
          </w:tcPr>
          <w:p>
            <w:r/>
            <w:r>
              <w:rPr>
                <w:rFonts w:ascii="Arial" w:hAnsi="Arial"/>
                <w:b w:val="0"/>
                <w:sz w:val="18"/>
              </w:rPr>
              <w:t>Umleitungskapazität der K 18 nur eingeschränkt belegbar</w:t>
            </w:r>
          </w:p>
        </w:tc>
      </w:tr>
      <w:tr>
        <w:tc>
          <w:tcPr>
            <w:tcW w:type="dxa" w:w="3324"/>
            <w:vAlign w:val="top"/>
          </w:tcPr>
          <w:p>
            <w:r/>
            <w:r>
              <w:rPr>
                <w:rFonts w:ascii="Arial" w:hAnsi="Arial"/>
                <w:b w:val="0"/>
                <w:sz w:val="18"/>
              </w:rPr>
              <w:t>Naturschutz</w:t>
            </w:r>
          </w:p>
        </w:tc>
        <w:tc>
          <w:tcPr>
            <w:tcW w:type="dxa" w:w="3324"/>
            <w:vAlign w:val="top"/>
          </w:tcPr>
          <w:p>
            <w:r/>
            <w:r>
              <w:rPr>
                <w:rFonts w:ascii="Arial" w:hAnsi="Arial"/>
                <w:b w:val="0"/>
                <w:sz w:val="18"/>
              </w:rPr>
              <w:t>Fledermausquartiere im Widerlager Ost und Feuersalamander-Migration am Bachlauf</w:t>
            </w:r>
          </w:p>
        </w:tc>
        <w:tc>
          <w:tcPr>
            <w:tcW w:type="dxa" w:w="3324"/>
            <w:vAlign w:val="top"/>
          </w:tcPr>
          <w:p>
            <w:r/>
            <w:r>
              <w:rPr>
                <w:rFonts w:ascii="Arial" w:hAnsi="Arial"/>
                <w:b w:val="0"/>
                <w:sz w:val="18"/>
              </w:rPr>
              <w:t>Bauzeitfenster kollidieren mit Vortrieb und Wasserhaltung</w:t>
            </w:r>
          </w:p>
        </w:tc>
      </w:tr>
      <w:tr>
        <w:tc>
          <w:tcPr>
            <w:tcW w:type="dxa" w:w="3324"/>
            <w:vAlign w:val="top"/>
          </w:tcPr>
          <w:p>
            <w:r/>
            <w:r>
              <w:rPr>
                <w:rFonts w:ascii="Arial" w:hAnsi="Arial"/>
                <w:b w:val="0"/>
                <w:sz w:val="18"/>
              </w:rPr>
              <w:t>Leitungsträger</w:t>
            </w:r>
          </w:p>
        </w:tc>
        <w:tc>
          <w:tcPr>
            <w:tcW w:type="dxa" w:w="3324"/>
            <w:vAlign w:val="top"/>
          </w:tcPr>
          <w:p>
            <w:r/>
            <w:r>
              <w:rPr>
                <w:rFonts w:ascii="Arial" w:hAnsi="Arial"/>
                <w:b w:val="0"/>
                <w:sz w:val="18"/>
              </w:rPr>
              <w:t>Trinkwasserzweckverband verlangt acht Wochen Vorlauf für Umschluss</w:t>
            </w:r>
          </w:p>
        </w:tc>
        <w:tc>
          <w:tcPr>
            <w:tcW w:type="dxa" w:w="3324"/>
            <w:vAlign w:val="top"/>
          </w:tcPr>
          <w:p>
            <w:r/>
            <w:r>
              <w:rPr>
                <w:rFonts w:ascii="Arial" w:hAnsi="Arial"/>
                <w:b w:val="0"/>
                <w:sz w:val="18"/>
              </w:rPr>
              <w:t>Terminplan enthält bislang nur vier Wochen Puffer</w:t>
            </w:r>
          </w:p>
        </w:tc>
      </w:tr>
    </w:tbl>
    <w:p/>
    <w:p>
      <w:pPr>
        <w:spacing w:after="80"/>
      </w:pPr>
      <w:r>
        <w:rPr>
          <w:rFonts w:ascii="Arial" w:hAnsi="Arial"/>
          <w:b w:val="0"/>
          <w:sz w:val="20"/>
        </w:rPr>
        <w:t>Für die LPH-2-Entscheidung wurde die Tunnel-Brücken-Kombination trotz höherer Anfangskosten bevorzugt, weil sie gegenüber einer offenen Einschnittslösung weniger Grunderwerb, weniger Lärmschutzwände und geringere Eingriffe in die Ortslage verursacht. Die Akte enthält keine abschließende Bewertung, ob die Baugrundrisiken in der Kostenschätzung ausreichend abgebildet sind.</w:t>
      </w:r>
    </w:p>
    <w:sectPr w:rsidR="00FC693F" w:rsidRPr="0006063C" w:rsidSect="00034616">
      <w:headerReference w:type="default" r:id="rId9"/>
      <w:footerReference w:type="default" r:id="rId10"/>
      <w:pgSz w:w="12240" w:h="15840"/>
      <w:pgMar w:top="907" w:right="1134" w:bottom="85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Hirschleite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Hirschleite    AG</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