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des Ministeriums - nach Akteneinsicht rekonstruierte Arbeitsfassung</w:t>
      </w:r>
    </w:p>
    <w:p>
      <w:pPr>
        <w:pStyle w:val="Heading2"/>
      </w:pPr>
      <w:r>
        <w:rPr>
          <w:rFonts w:ascii="Times New Roman" w:hAnsi="Times New Roman"/>
        </w:rPr>
        <w:t>Kernaussage</w:t>
      </w:r>
    </w:p>
    <w:p>
      <w:pPr>
        <w:jc w:val="left"/>
      </w:pPr>
      <w:r>
        <w:t>Das Ministerium hält die Auswahlentscheidung für rechtmäßig. Die Antragstellerin sei fachlich geeignet, der Beigeladene aber aufgrund längerer richterlicher Führungserfahrung, größerer Außenwirkungssicherheit und besserer Beurteilungsaktualität vorzugswürdig. Die ministerielle Abordnung der Antragstellerin sei kein Nachteil, aber auch kein Ersatz für Vorsitzendenerfahrung in einer großen Strafkammer.</w:t>
      </w:r>
    </w:p>
    <w:p>
      <w:pPr>
        <w:pStyle w:val="Heading2"/>
      </w:pPr>
      <w:r>
        <w:rPr>
          <w:rFonts w:ascii="Times New Roman" w:hAnsi="Times New Roman"/>
        </w:rPr>
        <w:t>Verteidigungslinie der Behörde</w:t>
      </w:r>
    </w:p>
    <w:p>
      <w:pPr>
        <w:jc w:val="left"/>
      </w:pPr>
      <w:r>
        <w:t>Die Behörde betont Organisationsgewalt und Beurteilungsspielraum. Sie meint, die Auswahlkommission habe die Unterlagen vollständig gesehen; eine wörtliche Wiedergabe jedes Beurteilungsbeitrags sei nicht erforderlich. Die Formulierung „Raum halten“ beschreibe keine neue Anforderung, sondern die aus dem Anforderungsprofil folgende Leitungskompetenz.</w:t>
      </w:r>
    </w:p>
    <w:p>
      <w:pPr>
        <w:pStyle w:val="Heading2"/>
      </w:pPr>
      <w:r>
        <w:rPr>
          <w:rFonts w:ascii="Times New Roman" w:hAnsi="Times New Roman"/>
        </w:rPr>
        <w:t>Schwächen</w:t>
      </w:r>
    </w:p>
    <w:p>
      <w:pPr>
        <w:jc w:val="left"/>
      </w:pPr>
      <w:r>
        <w:t>Die Erwiderung bleibt dort dünn, wo es um die Vergleichbarkeit der Beurteilungen geht. Der Konkurrent wurde kurz vor Ausschreibung beurteilt, die Mandantin teilweise auf Grundlage ihrer Ministeriumsabordnung. Die Behörde erklärt nicht sauber, wie unterschiedliche Beurteilungszeiträume und Verwendungen vergleichbar gemacht wurden. Außerdem fehlt eine nachvollziehbare Auseinandersetzung mit dem Sondervotum im Präsidialrat.</w:t>
      </w:r>
    </w:p>
    <w:p>
      <w:pPr>
        <w:pStyle w:val="Heading2"/>
      </w:pPr>
      <w:r>
        <w:rPr>
          <w:rFonts w:ascii="Times New Roman" w:hAnsi="Times New Roman"/>
        </w:rPr>
        <w:t>Replikansatz</w:t>
      </w:r>
    </w:p>
    <w:p>
      <w:pPr>
        <w:jc w:val="left"/>
      </w:pPr>
      <w:r>
        <w:t>Die Replik sollte die Behörde nicht auf Geschmack und persönliche Eindrücke ziehen lassen. Entscheidend ist Dokumentation: Was war vorgegeben? Was war aktenkundig? Was wurde gewichtet? Was wurde weggelassen? Je nüchterner diese Fragen gestellt werden, desto stärker wird der Angriff.</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Erwiderung des Ministeriums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Erwiderung des Ministeriums</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