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Gerichtliche Zeitleiste und Fristenkontrolle</w:t>
      </w:r>
    </w:p>
    <w:p>
      <w:pPr>
        <w:pStyle w:val="Heading2"/>
      </w:pPr>
      <w:r>
        <w:rPr>
          <w:rFonts w:ascii="Times New Roman" w:hAnsi="Times New Roman"/>
        </w:rPr>
        <w:t>Fristen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Reaktion</w:t>
            </w:r>
          </w:p>
        </w:tc>
      </w:tr>
      <w:tr>
        <w:tc>
          <w:tcPr>
            <w:tcW w:type="dxa" w:w="3024"/>
          </w:tcPr>
          <w:p>
            <w:r>
              <w:rPr>
                <w:rFonts w:ascii="Times New Roman" w:hAnsi="Times New Roman"/>
                <w:sz w:val="20"/>
              </w:rPr>
              <w:t>30.04.2026</w:t>
            </w:r>
          </w:p>
        </w:tc>
        <w:tc>
          <w:tcPr>
            <w:tcW w:type="dxa" w:w="3024"/>
          </w:tcPr>
          <w:p>
            <w:r>
              <w:rPr>
                <w:rFonts w:ascii="Times New Roman" w:hAnsi="Times New Roman"/>
                <w:sz w:val="20"/>
              </w:rPr>
              <w:t>Konkurrentenmitteilung</w:t>
            </w:r>
          </w:p>
        </w:tc>
        <w:tc>
          <w:tcPr>
            <w:tcW w:type="dxa" w:w="3024"/>
          </w:tcPr>
          <w:p>
            <w:r>
              <w:rPr>
                <w:rFonts w:ascii="Times New Roman" w:hAnsi="Times New Roman"/>
                <w:sz w:val="20"/>
              </w:rPr>
              <w:t>Fristnotiz sofort</w:t>
            </w:r>
          </w:p>
        </w:tc>
      </w:tr>
      <w:tr>
        <w:tc>
          <w:tcPr>
            <w:tcW w:type="dxa" w:w="3024"/>
          </w:tcPr>
          <w:p>
            <w:r>
              <w:rPr>
                <w:rFonts w:ascii="Times New Roman" w:hAnsi="Times New Roman"/>
                <w:sz w:val="20"/>
              </w:rPr>
              <w:t>02.05.2026</w:t>
            </w:r>
          </w:p>
        </w:tc>
        <w:tc>
          <w:tcPr>
            <w:tcW w:type="dxa" w:w="3024"/>
          </w:tcPr>
          <w:p>
            <w:r>
              <w:rPr>
                <w:rFonts w:ascii="Times New Roman" w:hAnsi="Times New Roman"/>
                <w:sz w:val="20"/>
              </w:rPr>
              <w:t>Akteneinsicht beantragt</w:t>
            </w:r>
          </w:p>
        </w:tc>
        <w:tc>
          <w:tcPr>
            <w:tcW w:type="dxa" w:w="3024"/>
          </w:tcPr>
          <w:p>
            <w:r>
              <w:rPr>
                <w:rFonts w:ascii="Times New Roman" w:hAnsi="Times New Roman"/>
                <w:sz w:val="20"/>
              </w:rPr>
              <w:t>per beA und Faxersatz dokumentiert</w:t>
            </w:r>
          </w:p>
        </w:tc>
      </w:tr>
      <w:tr>
        <w:tc>
          <w:tcPr>
            <w:tcW w:type="dxa" w:w="3024"/>
          </w:tcPr>
          <w:p>
            <w:r>
              <w:rPr>
                <w:rFonts w:ascii="Times New Roman" w:hAnsi="Times New Roman"/>
                <w:sz w:val="20"/>
              </w:rPr>
              <w:t>06.05.2026</w:t>
            </w:r>
          </w:p>
        </w:tc>
        <w:tc>
          <w:tcPr>
            <w:tcW w:type="dxa" w:w="3024"/>
          </w:tcPr>
          <w:p>
            <w:r>
              <w:rPr>
                <w:rFonts w:ascii="Times New Roman" w:hAnsi="Times New Roman"/>
                <w:sz w:val="20"/>
              </w:rPr>
              <w:t>Gespräch Präsidentin</w:t>
            </w:r>
          </w:p>
        </w:tc>
        <w:tc>
          <w:tcPr>
            <w:tcW w:type="dxa" w:w="3024"/>
          </w:tcPr>
          <w:p>
            <w:r>
              <w:rPr>
                <w:rFonts w:ascii="Times New Roman" w:hAnsi="Times New Roman"/>
                <w:sz w:val="20"/>
              </w:rPr>
              <w:t>eidesstattliche Versicherung vorbereiten</w:t>
            </w:r>
          </w:p>
        </w:tc>
      </w:tr>
      <w:tr>
        <w:tc>
          <w:tcPr>
            <w:tcW w:type="dxa" w:w="3024"/>
          </w:tcPr>
          <w:p>
            <w:r>
              <w:rPr>
                <w:rFonts w:ascii="Times New Roman" w:hAnsi="Times New Roman"/>
                <w:sz w:val="20"/>
              </w:rPr>
              <w:t>09.05.2026</w:t>
            </w:r>
          </w:p>
        </w:tc>
        <w:tc>
          <w:tcPr>
            <w:tcW w:type="dxa" w:w="3024"/>
          </w:tcPr>
          <w:p>
            <w:r>
              <w:rPr>
                <w:rFonts w:ascii="Times New Roman" w:hAnsi="Times New Roman"/>
                <w:sz w:val="20"/>
              </w:rPr>
              <w:t>Auswahlvermerk teilweise erhalten</w:t>
            </w:r>
          </w:p>
        </w:tc>
        <w:tc>
          <w:tcPr>
            <w:tcW w:type="dxa" w:w="3024"/>
          </w:tcPr>
          <w:p>
            <w:r>
              <w:rPr>
                <w:rFonts w:ascii="Times New Roman" w:hAnsi="Times New Roman"/>
                <w:sz w:val="20"/>
              </w:rPr>
              <w:t>Lückenliste an Behörde</w:t>
            </w:r>
          </w:p>
        </w:tc>
      </w:tr>
      <w:tr>
        <w:tc>
          <w:tcPr>
            <w:tcW w:type="dxa" w:w="3024"/>
          </w:tcPr>
          <w:p>
            <w:r>
              <w:rPr>
                <w:rFonts w:ascii="Times New Roman" w:hAnsi="Times New Roman"/>
                <w:sz w:val="20"/>
              </w:rPr>
              <w:t>13.05.2026</w:t>
            </w:r>
          </w:p>
        </w:tc>
        <w:tc>
          <w:tcPr>
            <w:tcW w:type="dxa" w:w="3024"/>
          </w:tcPr>
          <w:p>
            <w:r>
              <w:rPr>
                <w:rFonts w:ascii="Times New Roman" w:hAnsi="Times New Roman"/>
                <w:sz w:val="20"/>
              </w:rPr>
              <w:t>Eilantrag Entwurf</w:t>
            </w:r>
          </w:p>
        </w:tc>
        <w:tc>
          <w:tcPr>
            <w:tcW w:type="dxa" w:w="3024"/>
          </w:tcPr>
          <w:p>
            <w:r>
              <w:rPr>
                <w:rFonts w:ascii="Times New Roman" w:hAnsi="Times New Roman"/>
                <w:sz w:val="20"/>
              </w:rPr>
              <w:t>Finalisierung nach Akteneinsicht</w:t>
            </w:r>
          </w:p>
        </w:tc>
      </w:tr>
      <w:tr>
        <w:tc>
          <w:tcPr>
            <w:tcW w:type="dxa" w:w="3024"/>
          </w:tcPr>
          <w:p>
            <w:r>
              <w:rPr>
                <w:rFonts w:ascii="Times New Roman" w:hAnsi="Times New Roman"/>
                <w:sz w:val="20"/>
              </w:rPr>
              <w:t>16.05.2026</w:t>
            </w:r>
          </w:p>
        </w:tc>
        <w:tc>
          <w:tcPr>
            <w:tcW w:type="dxa" w:w="3024"/>
          </w:tcPr>
          <w:p>
            <w:r>
              <w:rPr>
                <w:rFonts w:ascii="Times New Roman" w:hAnsi="Times New Roman"/>
                <w:sz w:val="20"/>
              </w:rPr>
              <w:t>avisiertes Ernennungsdatum</w:t>
            </w:r>
          </w:p>
        </w:tc>
        <w:tc>
          <w:tcPr>
            <w:tcW w:type="dxa" w:w="3024"/>
          </w:tcPr>
          <w:p>
            <w:r>
              <w:rPr>
                <w:rFonts w:ascii="Times New Roman" w:hAnsi="Times New Roman"/>
                <w:sz w:val="20"/>
              </w:rPr>
              <w:t>Stillhaltebitte und Eilantrag</w:t>
            </w:r>
          </w:p>
        </w:tc>
      </w:tr>
    </w:tbl>
    <w:p>
      <w:pPr>
        <w:pStyle w:val="Heading2"/>
      </w:pPr>
      <w:r>
        <w:rPr>
          <w:rFonts w:ascii="Times New Roman" w:hAnsi="Times New Roman"/>
        </w:rPr>
        <w:t>Arbeitsnotiz</w:t>
      </w:r>
    </w:p>
    <w:p>
      <w:pPr>
        <w:jc w:val="left"/>
      </w:pPr>
      <w:r>
        <w:t>Der zentrale Fehler wäre, die Monatsfrist des Widerspruchs mit der Eilbedürftigkeit des Konkurrentenstreits zu verwechseln. Im Konkurrentenstreit muss die Mandantin praktisch sofort handeln, weil die Ernennung vollendete Tatsachen schafft. Der Widerspruch gegen Beurteilung oder Besoldung läuft daneben, aber er schützt nicht automatisch vor der Stellenbesetzung.</w:t>
      </w:r>
    </w:p>
    <w:p>
      <w:pPr>
        <w:pStyle w:val="Heading2"/>
      </w:pPr>
      <w:r>
        <w:rPr>
          <w:rFonts w:ascii="Times New Roman" w:hAnsi="Times New Roman"/>
        </w:rPr>
        <w:t>BeA- und Zustelllog</w:t>
      </w:r>
    </w:p>
    <w:p>
      <w:pPr>
        <w:jc w:val="left"/>
      </w:pPr>
      <w:r>
        <w:t>Alle Schriftsätze werden zusätzlich als Fristenlog dokumentiert. Für die Glaubhaftmachung genügt nicht, dass die Kanzlei „irgendwann“ geschrieben hat. Benötigt werden Versandzeit, Eingangsbestätigung, gerichtliches Aktenzeichen und Rückfragen der Geschäftsstelle. Die Mandantin ist gebeten, keine parallelen E-Mails an die Gerichtsleitung mehr zu senden.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Gerichtliche Zeitleiste und Fristenkontrolle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Gerichtliche Zeitleiste und Fristenkontrolle</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