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Verwaltungsgericht Falkenried - Antrag nach § 123 VwGO</w:t>
      </w:r>
    </w:p>
    <w:p>
      <w:pPr>
        <w:jc w:val="left"/>
      </w:pPr>
      <w:r>
        <w:rPr>
          <w:b/>
        </w:rPr>
        <w:t>In der Verwaltungsrechtssache</w:t>
      </w:r>
      <w:r>
        <w:t xml:space="preserve">  Dr. Ottilie Mondsee ./. Land Freienbruch, vertreten durch das Ministerium der Justiz, wegen Besetzung der Vorsitzendenstelle der 8. großen Strafkammer des Landgerichts Falkenried, wird namens und in Vollmacht der Antragstellerin beantragt:</w:t>
      </w:r>
    </w:p>
    <w:p>
      <w:pPr>
        <w:pStyle w:val="ListNumber"/>
      </w:pPr>
      <w:r>
        <w:t>Dem Antragsgegner wird im Wege der einstweiligen Anordnung untersagt, die im Justizministerialblatt vom 04.02.2026 ausgeschriebene Stelle einer Vorsitzenden Richterin am Landgericht - Vorsitz der 8. großen Strafkammer - mit Herrn Richter am Landgericht Dr. Friedrich Wendelborn oder einer anderen Person zu besetzen, bevor über die Bewerbung der Antragstellerin unter Beachtung der Rechtsauffassung des Gerichts erneut entschieden worden ist.</w:t>
      </w:r>
    </w:p>
    <w:p>
      <w:pPr>
        <w:pStyle w:val="ListNumber"/>
      </w:pPr>
      <w:r>
        <w:t>Der Antragsgegner trägt die Kosten des Verfahrens.</w:t>
      </w:r>
    </w:p>
    <w:p>
      <w:pPr>
        <w:pStyle w:val="ListNumber"/>
      </w:pPr>
      <w:r>
        <w:t>Der Streitwert wird vorläufig festgesetzt.</w:t>
      </w:r>
    </w:p>
    <w:p>
      <w:pPr>
        <w:pStyle w:val="Heading2"/>
      </w:pPr>
      <w:r>
        <w:rPr>
          <w:rFonts w:ascii="Times New Roman" w:hAnsi="Times New Roman"/>
        </w:rPr>
        <w:t>I. Sachverhalt</w:t>
      </w:r>
    </w:p>
    <w:p>
      <w:pPr>
        <w:jc w:val="left"/>
      </w:pPr>
      <w:r>
        <w:t>Die Antragstellerin ist seit 2019 Richterin im Dienst des Landes Freienbruch und seit 2022 planmäßig beim Landgericht Falkenried tätig. Sie war zunächst Mitglied der 3. Strafkammer, sodann Berichterstatterin in der 8. großen Strafkammer und übernahm in den Jahren 2024 und 2025 mehrfach Vertretungen des Vorsitzenden in umfangreichen Staatsschutz-, Wirtschaftsstraf- und Schwurgerichtssachen. Der Präsident des Landgerichts hatte ihr in zwei Dienstgesprächen eine besondere Eignung für die Leitung komplexer Spruchkörper bescheinigt, allerdings nur mündlich und ohne Aufnahme in die Personalakte.</w:t>
      </w:r>
    </w:p>
    <w:p>
      <w:pPr>
        <w:jc w:val="left"/>
      </w:pPr>
      <w:r>
        <w:t>Die Ausschreibung vom 04.02.2026 beschreibt ein Aufgabenprofil mit folgenden Schwerpunkten: Leitung eines Strafspruchkörpers mit hohem Öffentlichkeitsbezug, Sitzungsvorbereitung, Verfahrensförderung, Einbindung nichtrichterlicher Geschäftsstellen, Belastungsausgleich und Justizkommunikation. Die Antragstellerin hat hierzu fristgerecht eine Bewerbung eingereicht. Der Beigeladene Dr. Wendelborn hat sich ebenfalls beworben.</w:t>
      </w:r>
    </w:p>
    <w:p>
      <w:pPr>
        <w:jc w:val="left"/>
      </w:pPr>
      <w:r>
        <w:t>Der Auswahlvermerk vom 22.05.2026 stützt die Entscheidung zugunsten des Beigeladenen im Wesentlichen auf drei Gesichtspunkte: erstens dessen frühere Tätigkeit im Ministerium, zweitens seine angeblich höhere Führungsroutine und drittens die in einem Auswahlgespräch gezeigte „größere strategische Gelassenheit“. Die dienstlichen Beurteilungen weisen bei beiden Bewerbern dieselbe Gesamtnote aus. Eine vollständige Binnendifferenzierung der Einzelmerkmale findet sich nicht. Die Auswahlkommission hat zudem Belastungszahlen der 8. großen Strafkammer aus dem Jahr 2025 fehlerhaft zugeordnet. Verfahren, in denen die Antragstellerin kommissarisch sitzungsleitend tätig war, erscheinen im Vermerk unter der Rubrik des damaligen Vorsitzenden.</w:t>
      </w:r>
    </w:p>
    <w:p>
      <w:pPr>
        <w:jc w:val="left"/>
      </w:pPr>
      <w:r>
        <w:t>Die Antragstellerin erhielt die Konkurrentenmitteilung am 03.06.2026 per besonderem elektronischem Behördenpostfach. Am 07.06.2026 wurde ihr telefonisch mitgeteilt, die Ernennung solle „noch im Juni“ vorbereitet werden. Die Akteneinsicht wurde zunächst nur teilweise gewährt; insbesondere fehlten Beurteilungsbeiträge, Gesprächsbögen, die Stellungnahme des Präsidialrats, der vollständige Geschäftsverteilungsplan sowie die Bewertungsmatrix des Auswahlgesprächs.</w:t>
      </w:r>
    </w:p>
    <w:p>
      <w:pPr>
        <w:pStyle w:val="Heading2"/>
      </w:pPr>
      <w:r>
        <w:rPr>
          <w:rFonts w:ascii="Times New Roman" w:hAnsi="Times New Roman"/>
        </w:rPr>
        <w:t>II. Zulässigkeit</w:t>
      </w:r>
    </w:p>
    <w:p>
      <w:pPr>
        <w:jc w:val="left"/>
      </w:pPr>
      <w:r>
        <w:t>Der Verwaltungsrechtsweg ist eröffnet. Streitgegenstand ist der Bewerbungsverfahrensanspruch aus Art. 33 Abs. 2 GG in Verbindung mit dem jeweils anwendbaren Beamten- und Richterdienstrecht des Landes. Statthafter Rechtsschutz ist der Antrag nach § 123 VwGO, weil die Ernennung des Konkurrenten bei einem statusrechtlich höherwertigen Amt regelmäßig eine irreversible Verfahrenslage schafft. Die Antragstellerin kann nicht auf ein Hauptsacheverfahren verwiesen werden.</w:t>
      </w:r>
    </w:p>
    <w:p>
      <w:pPr>
        <w:jc w:val="left"/>
      </w:pPr>
      <w:r>
        <w:t>Ein Rechtsschutzbedürfnis besteht fort. Der Antragsgegner hat die Stellenbesetzung nicht verbindlich ausgesetzt. Die telefonische Auskunft aus dem Ministerium, man werde „selbstverständlich nichts übereilen“, ist keine rechtssichere Stillhaltezusage. Gerade im beamtenrechtlichen Konkurrentenstreit muss der Dienstherr klare Verhältnisse schaffen. Eine unverbindliche Gesprächsnotiz genügt nicht.</w:t>
      </w:r>
    </w:p>
    <w:p>
      <w:pPr>
        <w:pStyle w:val="Heading2"/>
      </w:pPr>
      <w:r>
        <w:rPr>
          <w:rFonts w:ascii="Times New Roman" w:hAnsi="Times New Roman"/>
        </w:rPr>
        <w:t>III. Anordnungsanspruch</w:t>
      </w:r>
    </w:p>
    <w:p>
      <w:pPr>
        <w:jc w:val="left"/>
      </w:pPr>
      <w:r>
        <w:t>Die Auswahlentscheidung verletzt den Bewerbungsverfahrensanspruch der Antragstellerin. Art. 33 Abs. 2 GG verlangt eine Entscheidung nach Eignung, Befähigung und fachlicher Leistung. Dieser Maßstab gilt auch dann, wenn richterliche Funktionen, gerichtsorganisatorische Verantwortung und Leitungskompetenz eine besondere Rolle spielen. Der Dienstherr darf das Anforderungsprofil gestalten, muss es aber vor der Auswahl festlegen, transparent anwenden und darf es nicht nachträglich auf eine Wunschperson zuschneiden.</w:t>
      </w:r>
    </w:p>
    <w:p>
      <w:pPr>
        <w:pStyle w:val="Heading3"/>
      </w:pPr>
      <w:r>
        <w:rPr>
          <w:rFonts w:ascii="Times New Roman" w:hAnsi="Times New Roman"/>
        </w:rPr>
        <w:t>1. Unvollständige Tatsachengrundlage</w:t>
      </w:r>
    </w:p>
    <w:p>
      <w:pPr>
        <w:jc w:val="left"/>
      </w:pPr>
      <w:r>
        <w:t>Die dienstliche Beurteilung der Antragstellerin wurde nicht aus der tatsächlich gelebten Spruchkörpertätigkeit abgeleitet. Die Vertretungen in den Verfahren „Wetterleuchten“, „Schacht 17“ und „Sander/Helmfried“ fehlen in der Leistungsübersicht oder sind neutralisiert. Die Antragstellerin hat in diesen Verfahren Sitzungspläne erstellt, Verständigungsgespräche dokumentiert, Beweisanträge strukturiert und in einem Verfahren über 26 Hauptverhandlungstage die Sitzung geleitet. Diese Tätigkeit ist für eine Vorsitzendenstelle zentral.</w:t>
      </w:r>
    </w:p>
    <w:p>
      <w:pPr>
        <w:pStyle w:val="Heading3"/>
      </w:pPr>
      <w:r>
        <w:rPr>
          <w:rFonts w:ascii="Times New Roman" w:hAnsi="Times New Roman"/>
        </w:rPr>
        <w:t>2. Fehlerhafte Gewichtung ministerieller Tätigkeit</w:t>
      </w:r>
    </w:p>
    <w:p>
      <w:pPr>
        <w:jc w:val="left"/>
      </w:pPr>
      <w:r>
        <w:t>Die ministerielle Abordnung des Beigeladenen kann nicht ohne nähere Begründung als höherwertiger Führungsnachweis bewertet werden. Verwaltungserfahrung mag relevant sein, ersetzt aber keine richterliche Leitungserfahrung. Der Auswahlvermerk lässt nicht erkennen, ob und wie die in der Ausschreibung genannten Aufgaben des konkreten Spruchkörpers mit der ministeriellen Tätigkeit verknüpft wurden. Die Formulierung „besserer Überblick über justizielle Gesamtzusammenhänge“ bleibt floskelhaft.</w:t>
      </w:r>
    </w:p>
    <w:p>
      <w:pPr>
        <w:pStyle w:val="Heading3"/>
      </w:pPr>
      <w:r>
        <w:rPr>
          <w:rFonts w:ascii="Times New Roman" w:hAnsi="Times New Roman"/>
        </w:rPr>
        <w:t>3. Auswahlgespräch als unzulässiges Korrektiv</w:t>
      </w:r>
    </w:p>
    <w:p>
      <w:pPr>
        <w:jc w:val="left"/>
      </w:pPr>
      <w:r>
        <w:t>Das Auswahlgespräch wurde nicht dokumentationsfest geführt. Die Gesprächsnotizen enthalten Stichworte wie „ruhiger“, „weniger kampfeslustig“, „teamfähig trotz Ehrgeiz“ und „keine unnötige Wissenschaftlichkeit“. Diese Kategorien sind nicht erkennbar vorab definiert. Sie berühren zudem Rollenbilder, die bei Bewerberinnen für Leitungsämter besonders sensibel sind. Eine Auswahl darf nicht darauf hinauslaufen, dass die sachlich drängende Bewerberin als unruhig und der gelassen auftretende Konkurrent als führungsstark etikettiert wird.</w:t>
      </w:r>
    </w:p>
    <w:p>
      <w:pPr>
        <w:pStyle w:val="Heading3"/>
      </w:pPr>
      <w:r>
        <w:rPr>
          <w:rFonts w:ascii="Times New Roman" w:hAnsi="Times New Roman"/>
        </w:rPr>
        <w:t>4. Präsidialrat und richterliche Unabhängigkeit</w:t>
      </w:r>
    </w:p>
    <w:p>
      <w:pPr>
        <w:jc w:val="left"/>
      </w:pPr>
      <w:r>
        <w:t>Soweit der Präsidialrat beteiligt war, fehlt eine nachvollziehbare Darstellung, welche Unterlagen vorlagen und ob die dienstlichen Beurteilungen vollständig waren. Das ist im Richterdienstrecht kein Formalismus. Die Beteiligung dient der institutionellen Absicherung eines Auswahlprozesses, der richterliche Unabhängigkeit, gerichtsinterne Belastungssteuerung und statusrechtliche Karriereentscheidungen berührt.</w:t>
      </w:r>
    </w:p>
    <w:p>
      <w:pPr>
        <w:pStyle w:val="Heading3"/>
      </w:pPr>
      <w:r>
        <w:rPr>
          <w:rFonts w:ascii="Times New Roman" w:hAnsi="Times New Roman"/>
        </w:rPr>
        <w:t>5. R-Besoldung und Folgefragen</w:t>
      </w:r>
    </w:p>
    <w:p>
      <w:pPr>
        <w:jc w:val="left"/>
      </w:pPr>
      <w:r>
        <w:t>Die Auswahlentscheidung ist auch deshalb nicht isoliert zu betrachten, weil sie Auswirkungen auf Besoldung, Erfahrungsstufe, Familienzuschlag und ruhegehaltfähige Dienstzeit hat. Die Antragstellerin hat bereits getrennt Widerspruch gegen mehrere Besoldungsfestsetzungen erhoben. Der Antragsgegner versucht, die Stellenbesetzung und die Besoldungsfragen künstlich zu trennen. In der Akte zeigt sich jedoch, dass die Bewertung der bisherigen Tätigkeiten gerade auch für die Erfahrungszuordnung und ruhegehaltfähige Anerkennung relevant ist.</w:t>
      </w:r>
    </w:p>
    <w:p>
      <w:pPr>
        <w:pStyle w:val="Heading2"/>
      </w:pPr>
      <w:r>
        <w:rPr>
          <w:rFonts w:ascii="Times New Roman" w:hAnsi="Times New Roman"/>
        </w:rPr>
        <w:t>IV. Anordnungsgrund</w:t>
      </w:r>
    </w:p>
    <w:p>
      <w:pPr>
        <w:jc w:val="left"/>
      </w:pPr>
      <w:r>
        <w:t>Der Anordnungsgrund folgt aus der drohenden Ernennung des Beigeladenen. Nach Ernennung eines Konkurrenten ist der Statusakt grundsätzlich nicht mehr in der Weise rückgängig zu machen, dass die Antragstellerin im selben Auswahlverfahren berücksichtigt werden könnte. Eine spätere Schadensersatzklage ist kein gleichwertiger Rechtsschutz.</w:t>
      </w:r>
    </w:p>
    <w:p>
      <w:pPr>
        <w:pStyle w:val="Heading2"/>
      </w:pPr>
      <w:r>
        <w:rPr>
          <w:rFonts w:ascii="Times New Roman" w:hAnsi="Times New Roman"/>
        </w:rPr>
        <w:t>V. Glaubhaftmachung</w:t>
      </w:r>
    </w:p>
    <w:p>
      <w:pPr>
        <w:jc w:val="left"/>
      </w:pPr>
      <w:r>
        <w:t>Die Antragstellerin macht die Tatsachen glaubhaft durch eidesstattliche Versicherung, die Ausschreibung, die Konkurrentenmitteilung, den Auswahlvermerk, die dienstlichen Beurteilungen, die bislang gewährte Akteneinsicht, die Belastungsstatistik der Strafkammer, E-Mail-Verkehr mit der Geschäftsstelle, Auszüge aus dem Geschäftsverteilungsplan und den anwaltlichen Akteneinsichtsantrag.</w:t>
      </w:r>
    </w:p>
    <w:p>
      <w:pPr>
        <w:pStyle w:val="Heading2"/>
      </w:pPr>
      <w:r>
        <w:rPr>
          <w:rFonts w:ascii="Times New Roman" w:hAnsi="Times New Roman"/>
        </w:rPr>
        <w:t>VI. Anlagen</w:t>
      </w:r>
    </w:p>
    <w:p>
      <w:pPr>
        <w:jc w:val="left"/>
      </w:pPr>
      <w:r>
        <w:t>A 1 Ausschreibung vom 04.02.2026</w:t>
      </w:r>
    </w:p>
    <w:p>
      <w:pPr>
        <w:jc w:val="left"/>
      </w:pPr>
      <w:r>
        <w:t>A 2 Bewerbung der Antragstellerin vom 17.02.2026</w:t>
      </w:r>
    </w:p>
    <w:p>
      <w:pPr>
        <w:jc w:val="left"/>
      </w:pPr>
      <w:r>
        <w:t>A 3 Konkurrentenmitteilung vom 03.06.2026</w:t>
      </w:r>
    </w:p>
    <w:p>
      <w:pPr>
        <w:jc w:val="left"/>
      </w:pPr>
      <w:r>
        <w:t>A 4 Auswahlvermerk vom 22.05.2026</w:t>
      </w:r>
    </w:p>
    <w:p>
      <w:pPr>
        <w:jc w:val="left"/>
      </w:pPr>
      <w:r>
        <w:t>A 5 Dienstliche Beurteilung und Widerspruch</w:t>
      </w:r>
    </w:p>
    <w:p>
      <w:pPr>
        <w:jc w:val="left"/>
      </w:pPr>
      <w:r>
        <w:t>A 6 Belastungszahlen und Verfahrensliste 2024/2025</w:t>
      </w:r>
    </w:p>
    <w:p>
      <w:pPr>
        <w:jc w:val="left"/>
      </w:pPr>
      <w:r>
        <w:t>A 7 Gesprächsvermerk OLG-Präsidentin</w:t>
      </w:r>
    </w:p>
    <w:p>
      <w:pPr>
        <w:jc w:val="left"/>
      </w:pPr>
      <w:r>
        <w:t>A 8 Präsidialratsauszug</w:t>
      </w:r>
    </w:p>
    <w:p>
      <w:pPr>
        <w:jc w:val="left"/>
      </w:pPr>
      <w:r>
        <w:t>A 9 Akteneinsichtskorrespondenz</w:t>
      </w:r>
    </w:p>
    <w:p>
      <w:pPr>
        <w:jc w:val="left"/>
      </w:pPr>
      <w:r>
        <w:t>A 10 Eidesstattliche Versicherung Dr. Mondsee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Falkenried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Falkenried</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