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Kanzlei-Checkliste Beamtenrecht/Richterrecht</w:t>
      </w:r>
    </w:p>
    <w:p>
      <w:pPr>
        <w:pStyle w:val="Heading2"/>
      </w:pPr>
      <w:r>
        <w:rPr>
          <w:rFonts w:ascii="Times New Roman" w:hAnsi="Times New Roman"/>
        </w:rPr>
        <w:t>A. Sofortmaßnahmen</w:t>
      </w:r>
    </w:p>
    <w:p>
      <w:pPr>
        <w:pStyle w:val="ListBullet"/>
      </w:pPr>
      <w:r>
        <w:t>Vollmacht und Kommunikationsweg klären.</w:t>
      </w:r>
    </w:p>
    <w:p>
      <w:pPr>
        <w:pStyle w:val="ListBullet"/>
      </w:pPr>
      <w:r>
        <w:t>Konkurrentenmitteilung und Rechtsbehelfsbelehrung sichern.</w:t>
      </w:r>
    </w:p>
    <w:p>
      <w:pPr>
        <w:pStyle w:val="ListBullet"/>
      </w:pPr>
      <w:r>
        <w:t>Stillhaltezusage verlangen, aber nicht auf unverbindliche Antwort vertrauen.</w:t>
      </w:r>
    </w:p>
    <w:p>
      <w:pPr>
        <w:pStyle w:val="ListBullet"/>
      </w:pPr>
      <w:r>
        <w:t>Akteneinsicht vollständig beantragen: Auswahlakte, Personalakte, Beurteilungsbeiträge, Gesprächsbögen, Präsidialratsunterlagen, Belastungszahlen.</w:t>
      </w:r>
    </w:p>
    <w:p>
      <w:pPr>
        <w:pStyle w:val="ListBullet"/>
      </w:pPr>
      <w:r>
        <w:t>Statusvollzug überwachen: Ernennung, Aushändigung, Mitteilung an Gerichtsleitung.</w:t>
      </w:r>
    </w:p>
    <w:p>
      <w:pPr>
        <w:pStyle w:val="Heading2"/>
      </w:pPr>
      <w:r>
        <w:rPr>
          <w:rFonts w:ascii="Times New Roman" w:hAnsi="Times New Roman"/>
        </w:rPr>
        <w:t>B. Materielle Prüfung</w:t>
      </w:r>
    </w:p>
    <w:p>
      <w:pPr>
        <w:pStyle w:val="ListBullet"/>
      </w:pPr>
      <w:r>
        <w:t>Anforderungsprofil: vorab, transparent, sachgerecht, konstitutiv oder beschreibend?</w:t>
      </w:r>
    </w:p>
    <w:p>
      <w:pPr>
        <w:pStyle w:val="ListBullet"/>
      </w:pPr>
      <w:r>
        <w:t>Beurteilungen: aktuell, vergleichbar, gleiche Beurteilungszeiträume, gleiche Maßstäbe?</w:t>
      </w:r>
    </w:p>
    <w:p>
      <w:pPr>
        <w:pStyle w:val="ListBullet"/>
      </w:pPr>
      <w:r>
        <w:t>Binnendifferenzierung: Einzelmerkmale wirklich ausgeschöpft?</w:t>
      </w:r>
    </w:p>
    <w:p>
      <w:pPr>
        <w:pStyle w:val="ListBullet"/>
      </w:pPr>
      <w:r>
        <w:t>Auswahlgespräch: nur Hilfskriterium oder tragende Korrektur?</w:t>
      </w:r>
    </w:p>
    <w:p>
      <w:pPr>
        <w:pStyle w:val="ListBullet"/>
      </w:pPr>
      <w:r>
        <w:t>Dienstliche Erfahrung: richterliche Leitung, ministerielle Verwaltung, Spruchkörperorganisation.</w:t>
      </w:r>
    </w:p>
    <w:p>
      <w:pPr>
        <w:pStyle w:val="ListBullet"/>
      </w:pPr>
      <w:r>
        <w:t>Beteiligungsgremien: Präsidialrat, Gleichstellung, Personalrat, Schwerbehindertenvertretung.</w:t>
      </w:r>
    </w:p>
    <w:p>
      <w:pPr>
        <w:pStyle w:val="Heading2"/>
      </w:pPr>
      <w:r>
        <w:rPr>
          <w:rFonts w:ascii="Times New Roman" w:hAnsi="Times New Roman"/>
        </w:rPr>
        <w:t>C. Schriftsatzlogik</w:t>
      </w:r>
    </w:p>
    <w:p>
      <w:pPr>
        <w:jc w:val="left"/>
      </w:pPr>
      <w:r>
        <w:t>Der Antrag darf nicht so wirken, als solle das Gericht selbst die bessere Bewerberin bestimmen. Ziel ist die erneute, fehlerfreie Entscheidung. Deshalb keine Übertreibung. Besser: konkrete Dokumentationsmängel, verkürzte Tatsachengrundlage, unklare Gewichtung, unvollständige Beteiligung.</w:t>
      </w:r>
    </w:p>
    <w:p>
      <w:pPr>
        <w:pStyle w:val="Heading2"/>
      </w:pPr>
      <w:r>
        <w:rPr>
          <w:rFonts w:ascii="Times New Roman" w:hAnsi="Times New Roman"/>
        </w:rPr>
        <w:t>D. Nebenverfahren</w:t>
      </w:r>
    </w:p>
    <w:p>
      <w:pPr>
        <w:jc w:val="left"/>
      </w:pPr>
      <w:r>
        <w:t>Besoldung, Nebentätigkeit, amtsärztliche Untersuchung und Personalaktenkorrektur werden getrennt geführt. Gleichwohl werden Tatsachen abgestimmt, damit im Auswahlstreit keine Aussage getroffen wird, die im Besoldungsverfahren später schadet.</w:t>
      </w:r>
    </w:p>
    <w:p>
      <w:pPr>
        <w:pStyle w:val="Heading2"/>
      </w:pPr>
      <w:r>
        <w:rPr>
          <w:rFonts w:ascii="Times New Roman" w:hAnsi="Times New Roman"/>
        </w:rPr>
        <w:t>E. Ton und Mandantenführung</w:t>
      </w:r>
    </w:p>
    <w:p>
      <w:pPr>
        <w:jc w:val="left"/>
      </w:pPr>
      <w:r>
        <w:t>Dr. Mondsee ist fachlich stark und unter Druck. Sie braucht keine dramaturgische Eskalation, sondern eine präzise Verfahrenskontrolle. In Telefonaten mit Gericht und Ministerium zurückhaltend, schriftlich klar, Fristen streng. Keine informelle Preisgabe von Gesundheitsdaten oder familiären Details.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Statusvollzug überwachen: Ernennung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Statusvollzug überwachen: Ernennung</w:t>
    </w:r>
  </w:p>
  <w:p>
    <w:pPr>
      <w:jc w:val="left"/>
      <w:pBdr>
        <w:bottom w:val="single" w:sz="6" w:space="2" w:color="3B3F45"/>
      </w:pBdr>
    </w:pPr>
    <w:r>
      <w:rPr>
        <w:rFonts w:ascii="Times New Roman" w:hAnsi="Times New Roman"/>
        <w:color w:val="6B6B66"/>
        <w:sz w:val="16"/>
      </w:rPr>
      <w:t>Aushändigung, Mitteilung an Gerichtsleitung.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