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Beschlussentwurf - Verwaltungsgericht Falkenried</w:t>
      </w:r>
    </w:p>
    <w:p>
      <w:pPr>
        <w:pStyle w:val="Heading2"/>
      </w:pPr>
      <w:r>
        <w:rPr>
          <w:rFonts w:ascii="Times New Roman" w:hAnsi="Times New Roman"/>
        </w:rPr>
        <w:t>Tenorentwurf</w:t>
      </w:r>
    </w:p>
    <w:p>
      <w:pPr>
        <w:jc w:val="left"/>
      </w:pPr>
      <w:r>
        <w:t>Dem Antragsgegner wird im Wege der einstweiligen Anordnung untersagt, die ausgeschriebene Stelle einer Vorsitzenden Richterin am Landgericht Falkenried zu besetzen, bevor über die Bewerbung der Antragstellerin unter Beachtung der Rechtsauffassung des Gerichts erneut entschieden worden ist.</w:t>
      </w:r>
    </w:p>
    <w:p>
      <w:pPr>
        <w:pStyle w:val="Heading2"/>
      </w:pPr>
      <w:r>
        <w:rPr>
          <w:rFonts w:ascii="Times New Roman" w:hAnsi="Times New Roman"/>
        </w:rPr>
        <w:t>Gründe - Arbeitsfassung</w:t>
      </w:r>
    </w:p>
    <w:p>
      <w:pPr>
        <w:jc w:val="left"/>
      </w:pPr>
      <w:r>
        <w:t>Die Antragstellerin hat einen Anordnungsanspruch glaubhaft gemacht. Die Auswahlentscheidung ist voraussichtlich fehlerhaft, weil der Antragsgegner die tatsächliche Leitungserfahrung der Antragstellerin nicht hinreichend berücksichtigt und die Gewichtung des Auswahlgesprächs nicht nachvollziehbar dokumentiert hat.</w:t>
      </w:r>
    </w:p>
    <w:p>
      <w:pPr>
        <w:jc w:val="left"/>
      </w:pPr>
      <w:r>
        <w:t>Der Dienstherr ist nicht gehindert, neben dienstlichen Beurteilungen auch andere Erkenntnisquellen heranzuziehen. Er darf insbesondere Leitungserfahrung, Organisationsfähigkeit und kommunikative Kompetenz berücksichtigen. Werden solche Gesichtspunkte aber entscheidungstragend, müssen sie anhand erkennbarer Kriterien erhoben und dokumentiert werden. Das ist hier nicht der Fall.</w:t>
      </w:r>
    </w:p>
    <w:p>
      <w:pPr>
        <w:jc w:val="left"/>
      </w:pPr>
      <w:r>
        <w:t>Der Beurteilungsbeitrag des Vorsitzenden Richters Dr. Degenhardt legt nahe, dass die Antragstellerin in mehreren Umfangsverfahren Aufgaben wahrgenommen hat, die für die ausgeschriebene Vorsitzendenstelle unmittelbar relevant sind. Der Auswahlvermerk erwähnt diese Tätigkeiten nur verkürzt. Demgegenüber wird die ministerielle Projektarbeit des Beigeladenen ausführlich als Führungsnachweis gewertet. Diese Asymmetrie ist erklärungsbedürftig und bislang nicht erklärt.</w:t>
      </w:r>
    </w:p>
    <w:p>
      <w:pPr>
        <w:jc w:val="left"/>
      </w:pPr>
      <w:r>
        <w:t>Auch die Beteiligung des Präsidialrats ist nicht mit der erforderlichen Klarheit dokumentiert. Das Gericht muss nicht entscheiden, ob bereits dies allein den Antrag trägt. In Zusammenschau mit den übrigen Dokumentationsmängeln verstärkt es jedoch die Zweifel an der Tragfähigkeit der Entscheidung.</w:t>
      </w:r>
    </w:p>
    <w:p>
      <w:pPr>
        <w:jc w:val="left"/>
      </w:pPr>
      <w:r>
        <w:t>Ein Anordnungsgrund liegt vor, weil die Ernennung des Beigeladenen den Bewerbungsverfahrensanspruch der Antragstellerin vereiteln könnte. Eine nachträgliche Schadensersatzmöglichkeit ersetzt effektiven Rechtsschutz nicht.</w:t>
      </w:r>
    </w:p>
    <w:p>
      <w:pPr>
        <w:pStyle w:val="Heading2"/>
      </w:pPr>
      <w:r>
        <w:rPr>
          <w:rFonts w:ascii="Times New Roman" w:hAnsi="Times New Roman"/>
        </w:rPr>
        <w:t>Hinweise für mündliche Verkündung</w:t>
      </w:r>
    </w:p>
    <w:p>
      <w:pPr>
        <w:jc w:val="left"/>
      </w:pPr>
      <w:r>
        <w:t>Das Gericht trifft keine eigene Auswahlentscheidung. Es hält auch nicht fest, dass die Antragstellerin zwingend zu ernennen wäre. Der Dienstherr bleibt frei, erneut zu entscheiden, muss dann aber die tatsächliche Leitungserfahrung, die Gesprächsbewertung und die Beteiligungsunterlagen nachvollziehbar zusammenführen.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Falkenried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Falkenried</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