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Beschwerdebegründung an das Oberverwaltungsgericht Freienbruch</w:t>
      </w:r>
    </w:p>
    <w:p>
      <w:pPr>
        <w:pStyle w:val="Heading2"/>
      </w:pPr>
      <w:r>
        <w:rPr>
          <w:rFonts w:ascii="Times New Roman" w:hAnsi="Times New Roman"/>
        </w:rPr>
        <w:t>Vorbemerkung</w:t>
      </w:r>
    </w:p>
    <w:p>
      <w:pPr>
        <w:jc w:val="left"/>
      </w:pPr>
      <w:r>
        <w:t>Dieser Entwurf wird nur benötigt, falls das Verwaltungsgericht den Eilantrag zurückweist oder die Sperre zu eng fasst. Er wird jetzt vorbereitet, weil die Ernennung des Konkurrenten sonst innerhalb weniger Tage vollzogen werden könnte. Die Beschwerde muss die tragenden Gründe des erstinstanzlichen Beschlusses angreifen und darf nicht nur den erstinstanzlichen Vortrag wiederholen.</w:t>
      </w:r>
    </w:p>
    <w:p>
      <w:pPr>
        <w:pStyle w:val="Heading2"/>
      </w:pPr>
      <w:r>
        <w:rPr>
          <w:rFonts w:ascii="Times New Roman" w:hAnsi="Times New Roman"/>
        </w:rPr>
        <w:t>A. Beschwerdeanträge</w:t>
      </w:r>
    </w:p>
    <w:p>
      <w:pPr>
        <w:pStyle w:val="ListNumber"/>
      </w:pPr>
      <w:r>
        <w:t>Der Beschluss des Verwaltungsgerichts Falkenried vom ... wird geändert.</w:t>
      </w:r>
    </w:p>
    <w:p>
      <w:pPr>
        <w:pStyle w:val="ListNumber"/>
      </w:pPr>
      <w:r>
        <w:t>Dem Antragsgegner wird untersagt, die ausgeschriebene Vorsitzendenstelle der 8. großen Strafkammer des Landgerichts Falkenried zu besetzen, bevor über die Bewerbung der Antragstellerin unter Beachtung der Rechtsauffassung des Gerichts erneut entschieden worden ist.</w:t>
      </w:r>
    </w:p>
    <w:p>
      <w:pPr>
        <w:pStyle w:val="ListNumber"/>
      </w:pPr>
      <w:r>
        <w:t>Hilfsweise wird dem Antragsgegner untersagt, die Stelle zu besetzen, bevor der Antragstellerin vollständige Einsicht in die Auswahlakte, die Gesprächsbögen, die Präsidialratsunterlagen und die relevanten Beurteilungsbeiträge gewährt worden ist.</w:t>
      </w:r>
    </w:p>
    <w:p>
      <w:pPr>
        <w:pStyle w:val="Heading2"/>
      </w:pPr>
      <w:r>
        <w:rPr>
          <w:rFonts w:ascii="Times New Roman" w:hAnsi="Times New Roman"/>
        </w:rPr>
        <w:t>B. Beschwerdegründe</w:t>
      </w:r>
    </w:p>
    <w:p>
      <w:pPr>
        <w:pStyle w:val="Heading3"/>
      </w:pPr>
      <w:r>
        <w:rPr>
          <w:rFonts w:ascii="Times New Roman" w:hAnsi="Times New Roman"/>
        </w:rPr>
        <w:t>1. Erstinstanz unterschätzt die Relevanz faktischer Sitzungsleitung</w:t>
      </w:r>
    </w:p>
    <w:p>
      <w:pPr>
        <w:jc w:val="left"/>
      </w:pPr>
      <w:r>
        <w:t>Sollte das Verwaltungsgericht darauf abstellen, die Antragstellerin habe formal keine Vorsitzendentätigkeit ausgeübt, wäre dies zu eng. Art. 33 Abs. 2 GG verlangt eine Auswahl nach Eignung, Befähigung und fachlicher Leistung. Für die Prognose der Eignung für eine Vorsitzendenstelle kommt es nicht nur auf formal verliehene Aufgaben an, sondern auf tatsächlich wahrgenommene Leitungssituationen. Gerade in richterlichen Spruchkörpern können faktische Vertretungs- und Strukturierungsleistungen eine hohe Aussagekraft besitzen.</w:t>
      </w:r>
    </w:p>
    <w:p>
      <w:pPr>
        <w:jc w:val="left"/>
      </w:pPr>
      <w:r>
        <w:t>Die Akte zeigt, dass Dr. Mondsee nicht nur punktuell Termine vertreten hat. Sie hat in Umfangsverfahren Sitzungspläne entworfen, Beweisantragsmanagement betrieben, Geschäftsstellenkommunikation koordiniert, Zeugenladungen priorisiert, Sicherheitsfragen abgestimmt und in Beratungen die Struktur vorgegeben. Diese Tätigkeiten sind im Auswahlvermerk nur verkürzt und damit verzerrt berücksichtigt.</w:t>
      </w:r>
    </w:p>
    <w:p>
      <w:pPr>
        <w:pStyle w:val="Heading3"/>
      </w:pPr>
      <w:r>
        <w:rPr>
          <w:rFonts w:ascii="Times New Roman" w:hAnsi="Times New Roman"/>
        </w:rPr>
        <w:t>2. Ministerielle Abordnung des Konkurrenten wird überhöht</w:t>
      </w:r>
    </w:p>
    <w:p>
      <w:pPr>
        <w:jc w:val="left"/>
      </w:pPr>
      <w:r>
        <w:t>Der Beigeladene mag im Ministerium wertvolle Erfahrung gesammelt haben. Diese Erfahrung ist aber nicht automatisch leitungsnäher als die tatsächliche Führung einer Strafkammer in Hauptverhandlungssituationen. Der Dienstherr darf Verwaltungserfahrung nicht durch Etiketten wie „strategische Gelassenheit“ und „Gesamtüberblick“ zu einem kaum überprüfbaren Vorteil machen, während konkrete richterliche Leitungserfahrung der Antragstellerin als bloße Vertretung erscheint.</w:t>
      </w:r>
    </w:p>
    <w:p>
      <w:pPr>
        <w:pStyle w:val="Heading3"/>
      </w:pPr>
      <w:r>
        <w:rPr>
          <w:rFonts w:ascii="Times New Roman" w:hAnsi="Times New Roman"/>
        </w:rPr>
        <w:t>3. Gesprächsbewertung ohne vorab definierte Maßstäbe</w:t>
      </w:r>
    </w:p>
    <w:p>
      <w:pPr>
        <w:jc w:val="left"/>
      </w:pPr>
      <w:r>
        <w:t>Die Gesprächsnotizen sind nicht nur knapp, sondern qualitativ problematisch. Begriffe wie „zu pointiert“, „streitbar“, „sehr fachlich“ oder „weniger vermittelnd“ können je nach Maßstab positiv oder negativ sein. Eine Vorsitzende in einer großen Strafkammer muss Konflikte nicht vermeiden, sondern verfahrensrechtlich beherrschen. Wenn Durchsetzungsfähigkeit in einem Umfangsverfahren gebraucht wird, darf sie nicht zugleich als kommunikatives Defizit gewertet werden.</w:t>
      </w:r>
    </w:p>
    <w:p>
      <w:pPr>
        <w:pStyle w:val="Heading3"/>
      </w:pPr>
      <w:r>
        <w:rPr>
          <w:rFonts w:ascii="Times New Roman" w:hAnsi="Times New Roman"/>
        </w:rPr>
        <w:t>4. Beteiligung des Präsidialrats nicht nachvollziehbar</w:t>
      </w:r>
    </w:p>
    <w:p>
      <w:pPr>
        <w:jc w:val="left"/>
      </w:pPr>
      <w:r>
        <w:t>Der Präsidialrat soll nicht nur ein Ergebnis abnicken. Wenn ihm entscheidende Beurteilungsbeiträge oder Gesprächsbögen nicht vollständig vorlagen, ist seine Beteiligung entleert. Der Antragsgegner trägt die Dokumentationsverantwortung. Im Eilverfahren genügt es nicht, dass eine Ministerialrätin sich erinnert, die „wesentlichen“ Unterlagen seien wohl vorgelegt worden.</w:t>
      </w:r>
    </w:p>
    <w:p>
      <w:pPr>
        <w:pStyle w:val="Heading3"/>
      </w:pPr>
      <w:r>
        <w:rPr>
          <w:rFonts w:ascii="Times New Roman" w:hAnsi="Times New Roman"/>
        </w:rPr>
        <w:t>5. Akteneinsicht als Mindestvoraussetzung effektiven Rechtsschutzes</w:t>
      </w:r>
    </w:p>
    <w:p>
      <w:pPr>
        <w:jc w:val="left"/>
      </w:pPr>
      <w:r>
        <w:t>Die Antragstellerin erhielt die tragenden Unterlagen erst nach anwaltlicher Intervention und teils erst nach Einleitung des Eilverfahrens. Effektiver Konkurrentenschutz setzt voraus, dass die Bewerberin die Auswahlentscheidung prüfen kann, bevor der Status vollzogen wird. Eine bloß nachträgliche Ergänzung kann die anfängliche Rechtsschutzverkürzung nicht vollständig heilen.</w:t>
      </w:r>
    </w:p>
    <w:p>
      <w:pPr>
        <w:pStyle w:val="Heading2"/>
      </w:pPr>
      <w:r>
        <w:rPr>
          <w:rFonts w:ascii="Times New Roman" w:hAnsi="Times New Roman"/>
        </w:rPr>
        <w:t>C. Beschwerdeangriff je nach erstinstanzlichem Tenor</w:t>
      </w:r>
    </w:p>
    <w:p>
      <w:pPr>
        <w:pStyle w:val="Heading3"/>
      </w:pPr>
      <w:r>
        <w:rPr>
          <w:rFonts w:ascii="Times New Roman" w:hAnsi="Times New Roman"/>
        </w:rPr>
        <w:t>Fall 1: vollständige Ablehnung</w:t>
      </w:r>
    </w:p>
    <w:p>
      <w:pPr>
        <w:jc w:val="left"/>
      </w:pPr>
      <w:r>
        <w:t>Dann wird betont, dass das VG den Prüfungsmaßstab verkannt hat. Nicht die gerichtliche Bestenauswahl steht im Raum, sondern die Sicherung einer erneuten Auswahlentscheidung.</w:t>
      </w:r>
    </w:p>
    <w:p>
      <w:pPr>
        <w:pStyle w:val="Heading3"/>
      </w:pPr>
      <w:r>
        <w:rPr>
          <w:rFonts w:ascii="Times New Roman" w:hAnsi="Times New Roman"/>
        </w:rPr>
        <w:t>Fall 2: Sperre nur bis Akteneinsicht</w:t>
      </w:r>
    </w:p>
    <w:p>
      <w:pPr>
        <w:jc w:val="left"/>
      </w:pPr>
      <w:r>
        <w:t>Dann wird beanstandet, dass Akteneinsicht allein nicht genügt, wenn die ursprüngliche Auswahlentscheidung bereits auf fehlerhafter Tatsachengrundlage beruht.</w:t>
      </w:r>
    </w:p>
    <w:p>
      <w:pPr>
        <w:pStyle w:val="Heading3"/>
      </w:pPr>
      <w:r>
        <w:rPr>
          <w:rFonts w:ascii="Times New Roman" w:hAnsi="Times New Roman"/>
        </w:rPr>
        <w:t>Fall 3: Sperre ohne Besoldungsbezug</w:t>
      </w:r>
    </w:p>
    <w:p>
      <w:pPr>
        <w:jc w:val="left"/>
      </w:pPr>
      <w:r>
        <w:t>Dann ist keine Beschwerde erforderlich, sofern die Stellenbesetzung tatsächlich blockiert ist. Der Besoldungsstrang läuft getrennt.</w:t>
      </w:r>
    </w:p>
    <w:p>
      <w:pPr>
        <w:pStyle w:val="Heading2"/>
      </w:pPr>
      <w:r>
        <w:rPr>
          <w:rFonts w:ascii="Times New Roman" w:hAnsi="Times New Roman"/>
        </w:rPr>
        <w:t>D. Anlagen für die Beschwerde</w:t>
      </w:r>
    </w:p>
    <w:p>
      <w:pPr>
        <w:pStyle w:val="ListBullet"/>
      </w:pPr>
      <w:r>
        <w:t>Beschluss Verwaltungsgericht,</w:t>
      </w:r>
    </w:p>
    <w:p>
      <w:pPr>
        <w:pStyle w:val="ListBullet"/>
      </w:pPr>
      <w:r>
        <w:t>Auswahlvermerk,</w:t>
      </w:r>
    </w:p>
    <w:p>
      <w:pPr>
        <w:pStyle w:val="ListBullet"/>
      </w:pPr>
      <w:r>
        <w:t>Gesprächsnotizen,</w:t>
      </w:r>
    </w:p>
    <w:p>
      <w:pPr>
        <w:pStyle w:val="ListBullet"/>
      </w:pPr>
      <w:r>
        <w:t>Beurteilungsbeitrag Degenhardt,</w:t>
      </w:r>
    </w:p>
    <w:p>
      <w:pPr>
        <w:pStyle w:val="ListBullet"/>
      </w:pPr>
      <w:r>
        <w:t>Belastungszahlen,</w:t>
      </w:r>
    </w:p>
    <w:p>
      <w:pPr>
        <w:pStyle w:val="ListBullet"/>
      </w:pPr>
      <w:r>
        <w:t>Präsidialratsauszug,</w:t>
      </w:r>
    </w:p>
    <w:p>
      <w:pPr>
        <w:pStyle w:val="ListBullet"/>
      </w:pPr>
      <w:r>
        <w:t>eidesstattliche Versicherung,</w:t>
      </w:r>
    </w:p>
    <w:p>
      <w:pPr>
        <w:pStyle w:val="ListBullet"/>
      </w:pPr>
      <w:r>
        <w:t>Fristenlog.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Oberverwaltungsgericht Freienbruch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Oberverwaltungsgericht Freienbruch</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