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Gericht - Ministerium - Kanzlei</w:t>
      </w:r>
    </w:p>
    <w:p>
      <w:pPr>
        <w:jc w:val="left"/>
      </w:pPr>
      <w:r>
        <w:rPr>
          <w:b/>
        </w:rPr>
        <w:t>Datum:</w:t>
      </w:r>
      <w:r>
        <w:t xml:space="preserve"> 18.06.2026, 15:20 Uhr</w:t>
      </w:r>
    </w:p>
    <w:p>
      <w:pPr>
        <w:jc w:val="left"/>
      </w:pPr>
      <w:r>
        <w:rPr>
          <w:b/>
        </w:rPr>
        <w:t>Teilnehmer:</w:t>
      </w:r>
      <w:r>
        <w:t xml:space="preserve"> Berichterstatterin Dr. Eschenau, Ministerialrätin Dr. Brückner, Rechtsanwältin Dr. Stechlin</w:t>
      </w:r>
    </w:p>
    <w:p>
      <w:pPr>
        <w:jc w:val="left"/>
      </w:pPr>
      <w:r>
        <w:rPr>
          <w:b/>
        </w:rPr>
        <w:t>Anlass:</w:t>
      </w:r>
      <w:r>
        <w:t xml:space="preserve"> organisatorische Abstimmung Eilverfahren und Aktennachlieferung</w:t>
      </w:r>
    </w:p>
    <w:p>
      <w:pPr>
        <w:jc w:val="left"/>
      </w:pPr>
      <w:r>
        <w:t>Die Berichterstatterin eröffnet das Gespräch mit dem Hinweis, dass das Gericht Wert auf eine vollständige Akte legt. Sie betont, es gehe nicht um eine Vorentscheidung, sondern um die Vermeidung unnötiger Schriftsatzschleifen. Die Ministerialrätin erklärt, man habe bereits nachgeliefert und sehe keinen weiteren Bedarf. Rechtsanwältin Dr. Stechlin weist darauf hin, dass die Gesprächsbögen und die Präsidialratsunterlagen weiterhin nur auszugsweise vorliegen.</w:t>
      </w:r>
    </w:p>
    <w:p>
      <w:pPr>
        <w:jc w:val="left"/>
      </w:pPr>
      <w:r>
        <w:t>Die Berichterstatterin fragt, ob eine Stillhaltezusage über den 31.07.2026 hinaus denkbar sei, falls die Akte nicht rechtzeitig vollständig werde. Die Ministerialrätin sagt, sie könne dies nicht zusagen, werde aber Rücksprache halten. Die Kanzlei erklärt, sie werde andernfalls den Antrag aufrechterhalten und notfalls kurzfristig um gerichtliche Zwischenverfügung bitten.</w:t>
      </w:r>
    </w:p>
    <w:p>
      <w:pPr>
        <w:jc w:val="left"/>
      </w:pPr>
      <w:r>
        <w:t>Zur Besoldung erklärt die Berichterstatterin, dass diese Frage im Eilverfahren voraussichtlich nicht entschieden werde. Rechtsanwältin Dr. Stechlin bestätigt, der Besoldungsstrang werde nur erwähnt, um den praktischen Kontext und mögliche Folgeschäden zu erklären. Die Ministerialrätin bittet darum, Gesundheits- und Familienunterlagen nicht breit in die Gerichtsakte einzuführen. Die Kanzlei stimmt dem im Grundsatz zu, weist aber darauf hin, dass familienbezogene Besoldungsbestandteile ohne Mindestnachweise nicht geprüft werden können.</w:t>
      </w:r>
    </w:p>
    <w:p>
      <w:pPr>
        <w:jc w:val="left"/>
      </w:pPr>
      <w:r>
        <w:t>Am Ende schlägt die Berichterstatterin einen engen Terminplan vor: Aktennachlieferung bis 21.06., Stellungnahme Antragstellerin bis 23.06., Erörterung am 24.06. Die Parteien erklären sich vorbehaltlich interner Prüfung einverstanden.</w:t>
      </w:r>
    </w:p>
    <w:p>
      <w:pPr>
        <w:pStyle w:val="Heading2"/>
      </w:pPr>
      <w:r>
        <w:rPr>
          <w:rFonts w:ascii="Times New Roman" w:hAnsi="Times New Roman"/>
        </w:rPr>
        <w:t>Bewertung durch die Kanzlei</w:t>
      </w:r>
    </w:p>
    <w:p>
      <w:pPr>
        <w:jc w:val="left"/>
      </w:pPr>
      <w:r>
        <w:t>Das Gericht wirkt an der Vollständigkeit der Akte interessiert. Die Gegenseite möchte die Sache als bloßen Dokumentationsstreit behandeln. Unsere Linie bleibt: Dokumentationsmangel und materiell relevante Bewertungsverkürzung fallen hier zusammen.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Telefonvermerk 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Telefonvermerk Gericht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