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Umweltbericht zum Bebauungsplan Nr. 900 — Auszug</w:t>
      </w:r>
    </w:p>
    <w:p>
      <w:pPr>
        <w:jc w:val="left"/>
      </w:pPr>
      <w:r>
        <w:rPr>
          <w:b/>
        </w:rPr>
        <w:t>Auftraggeber:</w:t>
      </w:r>
      <w:r>
        <w:t xml:space="preserve"> Stadt Augsburg, Stadtplanungsamt</w:t>
      </w:r>
    </w:p>
    <w:p>
      <w:pPr>
        <w:jc w:val="left"/>
      </w:pPr>
      <w:r>
        <w:rPr>
          <w:b/>
        </w:rPr>
        <w:t>Auftragnehmer:</w:t>
      </w:r>
      <w:r>
        <w:t xml:space="preserve"> Lanzendorfer + Strieder Architekten, München</w:t>
      </w:r>
    </w:p>
    <w:p>
      <w:pPr>
        <w:jc w:val="left"/>
      </w:pPr>
      <w:r>
        <w:rPr>
          <w:b/>
        </w:rPr>
        <w:t>Fachbeitrag Artenschutz:</w:t>
      </w:r>
      <w:r>
        <w:t xml:space="preserve"> Schwarzenberger + Partner, Landsberg am Lech</w:t>
      </w:r>
    </w:p>
    <w:p>
      <w:pPr>
        <w:jc w:val="left"/>
      </w:pPr>
      <w:r>
        <w:rPr>
          <w:b/>
        </w:rPr>
        <w:t>Fachbeitrag Schall:</w:t>
      </w:r>
      <w:r>
        <w:t xml:space="preserve"> IBA Akustik GmbH, Nürnberg</w:t>
      </w:r>
    </w:p>
    <w:p>
      <w:pPr>
        <w:jc w:val="left"/>
      </w:pPr>
      <w:r>
        <w:rPr>
          <w:b/>
        </w:rPr>
        <w:t>Stand:</w:t>
      </w:r>
      <w:r>
        <w:t xml:space="preserve"> 17. April 2024 — Fassung Satzungsbeschluss</w:t>
      </w:r>
    </w:p>
    <w:p/>
    <w:p>
      <w:pPr>
        <w:pStyle w:val="Heading2"/>
      </w:pPr>
      <w:r>
        <w:rPr>
          <w:rFonts w:ascii="Times New Roman" w:hAnsi="Times New Roman"/>
        </w:rPr>
        <w:t>Kapitel 1 — Einleitung</w:t>
      </w:r>
    </w:p>
    <w:p>
      <w:pPr>
        <w:jc w:val="left"/>
      </w:pPr>
      <w:r>
        <w:t>Der Umweltbericht ist Bestandteil der Begründung des Bebauungsplans (§ 2a S. 2 Nr. 2 BauGB i. V. m. Anlage 1 zum BauGB). Er dokumentiert die Umweltprüfung nach § 2 Abs. 4 BauGB.</w:t>
      </w:r>
    </w:p>
    <w:p>
      <w:pPr>
        <w:ind w:left="567"/>
      </w:pPr>
      <w:r>
        <w:rPr>
          <w:b/>
          <w:i/>
        </w:rPr>
        <w:t>[Kanzleimarkierung: "Online-Veröffentlichung gemäß § 4a Abs. 4 BauGB im Auslegungszeitraum 04.09.–06.10.2023? Stichprobe Webarchiv-Suche augsburg.de vom 27.07.2024: Umweltbericht in der Auslegungs-Fassung war NUR als PDF im internen Ratsinformationssystem hinterlegt, nicht auf der öffentlichen Seite 'Bauleitplanung Augsburg' eingebettet. Indiz für Verstoß gegen § 4a Abs. 4 BauGB."]</w:t>
      </w:r>
    </w:p>
    <w:p>
      <w:pPr>
        <w:pStyle w:val="Heading2"/>
      </w:pPr>
      <w:r>
        <w:rPr>
          <w:rFonts w:ascii="Times New Roman" w:hAnsi="Times New Roman"/>
        </w:rPr>
        <w:t>Kapitel 4 — Schutzgut Mensch / Lärm</w:t>
      </w:r>
    </w:p>
    <w:p>
      <w:pPr>
        <w:ind w:left="567"/>
      </w:pPr>
      <w:r>
        <w:rPr>
          <w:i/>
        </w:rPr>
        <w:t>"Die schalltechnische Untersuchung zeigt: Die Orientierungswerte der DIN 18005 für Mischgebiete (tagsüber 60 dB(A), nachts 50 dB(A)) werden an den geplanten Wohnfassaden zur Halderstraße und zur Bahntrasse hin überschritten. Durch passive Schallschutzmaßnahmen (Schallschutzfenster Klasse 4, schallgedämmte Lüftung) wird in den Innenräumen ein hinreichender Schutz gewährleistet."</w:t>
      </w:r>
    </w:p>
    <w:p>
      <w:pPr>
        <w:ind w:left="567"/>
      </w:pPr>
      <w:r>
        <w:rPr>
          <w:i/>
        </w:rPr>
        <w:t xml:space="preserve">"Für den </w:t>
      </w:r>
      <w:r>
        <w:rPr>
          <w:b/>
          <w:i/>
        </w:rPr>
        <w:t>Außenwohnbereich</w:t>
      </w:r>
      <w:r>
        <w:rPr>
          <w:i/>
        </w:rPr>
        <w:t xml:space="preserve"> (Balkone, Loggien) wird keine besondere Festsetzung getroffen, da der Anteil der schutzwürdigen Außenwohnbereiche bei den geplanten Geschossen als gering eingestuft wird."</w:t>
      </w:r>
    </w:p>
    <w:p>
      <w:pPr>
        <w:ind w:left="567"/>
      </w:pPr>
      <w:r>
        <w:rPr>
          <w:b/>
          <w:i/>
        </w:rPr>
        <w:t>[Kanzleimarkierung: "BVerwG, Urteil v. 22.03.2007 – 4 CN 2.06: Außenwohnbereich von Bestandsgebäuden gehört zum Abwägungsmaterial. Provinostraße 18, 16, 20 haben jeweils Balkone Richtung Plangebiet. Im Gutachten NICHT untersucht. Fehler im Abwägungsmaterial gemäß § 2 Abs. 3 BauGB."]</w:t>
      </w:r>
    </w:p>
    <w:p>
      <w:pPr>
        <w:ind w:left="567"/>
      </w:pPr>
      <w:r>
        <w:rPr>
          <w:i/>
        </w:rPr>
        <w:t>"Auf die Belastung der südlich angrenzenden Bestandsbebauung durch die Tiefgaragenzufahrt MU 3 wurde im vorliegenden Gutachten verzichtet, da diese gemäß TA Lärm Nr. 7.4 (Tiefgaragenzufahrten) typischerweise nicht zu Überschreitungen der Immissionsrichtwerte führt."</w:t>
      </w:r>
    </w:p>
    <w:p>
      <w:pPr>
        <w:ind w:left="567"/>
      </w:pPr>
      <w:r>
        <w:rPr>
          <w:b/>
          <w:i/>
        </w:rPr>
        <w:t>[Kanzleimarkierung: "Pauschalannahme ohne Standortbezug. Bei nächtlichen Ein-/Ausfahrten in 8-Meter-Abstand zu Schlafraumfenstern unzulässig. TA Lärm Nr. 7.4 enthält Pauschalwert, schließt aber Einzelfallprüfung nicht aus. § 2 Abs. 3 BauGB Ermittlungsdefizit."]</w:t>
      </w:r>
    </w:p>
    <w:p>
      <w:pPr>
        <w:pStyle w:val="Heading2"/>
      </w:pPr>
      <w:r>
        <w:rPr>
          <w:rFonts w:ascii="Times New Roman" w:hAnsi="Times New Roman"/>
        </w:rPr>
        <w:t>Kapitel 5 — Schutzgut Tiere / Pflanzen</w:t>
      </w:r>
    </w:p>
    <w:p>
      <w:pPr>
        <w:ind w:left="567"/>
      </w:pPr>
      <w:r>
        <w:rPr>
          <w:i/>
        </w:rPr>
        <w:t xml:space="preserve">"Im Untersuchungsraum wurden im Rahmen der speziellen artenschutzrechtlichen Prüfung (saP) im Zeitraum </w:t>
      </w:r>
      <w:r>
        <w:rPr>
          <w:b/>
          <w:i/>
        </w:rPr>
        <w:t>März bis Mai 2023</w:t>
      </w:r>
      <w:r>
        <w:rPr>
          <w:i/>
        </w:rPr>
        <w:t xml:space="preserve"> insgesamt 23 Brutvogelarten festgestellt. Eine Betroffenheit europäischer Vogelarten gemäß § 44 Abs. 1 i. V. m. § 7 Abs. 2 Nr. 13 BNatSchG ist nach Einschätzung des Gutachters nicht gegeben."</w:t>
      </w:r>
    </w:p>
    <w:p>
      <w:pPr>
        <w:ind w:left="567"/>
      </w:pPr>
      <w:r>
        <w:rPr>
          <w:b/>
          <w:i/>
        </w:rPr>
        <w:t>[Kanzleimarkierung: "Mauersegler (Apus apus) – Status: streng geschützt nach § 7 Abs. 2 Nr. 14 BNatSchG, Anhang I VS-RL nein, aber Art. 1 VS-RL. Hauptzugzeit aus Afrika: Ende April bis Anfang Mai, Brutzeit Mai–Anfang August. Eine Begehung März–Mai erfasst nur den Anflug, nicht die etablierte Brutpopulation. Mandantin hat dokumentierte Brutkasten Nr. 1–4 in Provinostraße 18, davon Nr. 4 jährlich besetzt (Fotos liegen vor)."]</w:t>
      </w:r>
    </w:p>
    <w:p>
      <w:pPr>
        <w:ind w:left="567"/>
      </w:pPr>
      <w:r>
        <w:rPr>
          <w:i/>
        </w:rPr>
        <w:t>"Fledermäuse wurden mittels Detektorbegehungen an drei Abenden (15.04., 22.04., 06.05.2023) erfasst. Hinweise auf Quartiere im Plangebiet wurden nicht gefunden."</w:t>
      </w:r>
    </w:p>
    <w:p>
      <w:pPr>
        <w:ind w:left="567"/>
      </w:pPr>
      <w:r>
        <w:rPr>
          <w:b/>
          <w:i/>
        </w:rPr>
        <w:t>[Kanzleimarkierung: "Drei Abendbegehungen für ein 6,4-ha-Gebiet mit altem Baumbestand sind nach LfU-Methodenstandard unzureichend. Mindeststandard: 5–8 Begehungen über die Aktivitätszeit Mai–September verteilt. Zusätzlich Bauwerksbegehung in Anbauten / Gleisbauwerken erforderlich."]</w:t>
      </w:r>
    </w:p>
    <w:p>
      <w:pPr>
        <w:pStyle w:val="Heading2"/>
      </w:pPr>
      <w:r>
        <w:rPr>
          <w:rFonts w:ascii="Times New Roman" w:hAnsi="Times New Roman"/>
        </w:rPr>
        <w:t>Kapitel 8 — Zusammenfassung</w:t>
      </w:r>
    </w:p>
    <w:p>
      <w:pPr>
        <w:ind w:left="567"/>
      </w:pPr>
      <w:r>
        <w:rPr>
          <w:i/>
        </w:rPr>
        <w:t>"Im Ergebnis der Umweltprüfung ist festzustellen, dass durch die Festsetzungen des Bebauungsplans Nr. 900 keine erheblichen nachteiligen Umweltauswirkungen zu erwarten sind, die nicht durch geeignete Vermeidungs- und Ausgleichsmaßnahmen kompensiert werden können."</w:t>
      </w:r>
    </w:p>
    <w:p>
      <w:pPr>
        <w:ind w:left="567"/>
      </w:pPr>
      <w:r>
        <w:rPr>
          <w:b/>
          <w:i/>
        </w:rPr>
        <w:t>[Kanzleimarkierung: "Standardformulierung, gestützt auf lückenhafte Fachgutachten. Abwägungsfehlerhaft, soweit die Ermittlung defizitär bleibt — § 2 Abs. 3 BauGB."]</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IBA Akustik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2C5230"/>
        <w:sz w:val="24"/>
      </w:rPr>
      <w:t>IBA Akustik GmbH</w:t>
    </w:r>
  </w:p>
  <w:p>
    <w:pPr>
      <w:jc w:val="left"/>
      <w:pBdr>
        <w:bottom w:val="single" w:sz="6" w:space="2" w:color="2C5230"/>
      </w:pBdr>
    </w:pPr>
    <w:r>
      <w:rPr>
        <w:rFonts w:ascii="Times New Roman" w:hAnsi="Times New Roman"/>
        <w:color w:val="6B6B66"/>
        <w:sz w:val="16"/>
      </w:rPr>
      <w:t>Nürnberg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