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Dressel &amp; Partner</w:t>
      </w:r>
    </w:p>
    <w:p>
      <w:pPr>
        <w:jc w:val="left"/>
      </w:pPr>
      <w:r>
        <w:t>Rechtsanwältin Hanna Dressel — Arbeitsrecht</w:t>
      </w:r>
    </w:p>
    <w:p>
      <w:pPr>
        <w:jc w:val="left"/>
      </w:pPr>
      <w:r>
        <w:t>Interner Aktenvermerk zur Mandatsakte Vogt ./. Stadtwerke Neukölln GmbH</w:t>
      </w:r>
    </w:p>
    <w:p>
      <w:pPr>
        <w:jc w:val="left"/>
      </w:pPr>
      <w:r>
        <w:t>Internes Aktenzeichen: VGT/2026/0309-ARB</w:t>
      </w:r>
    </w:p>
    <w:p>
      <w:pPr>
        <w:jc w:val="left"/>
      </w:pPr>
      <w:r>
        <w:t>Datum: 10.03.2026</w:t>
      </w:r>
    </w:p>
    <w:p>
      <w:pPr>
        <w:pStyle w:val="ListNumber"/>
      </w:pPr>
      <w:r>
        <w:t>Gegenstand</w:t>
      </w:r>
    </w:p>
    <w:p>
      <w:pPr>
        <w:jc w:val="left"/>
      </w:pPr>
      <w:r>
        <w:t>Auswertung der Vertragskette und Bewertung der Frage, ob die sachgrundlose Befristung vom 01.03.2024 einen dauerhaften Beschäftigungsbedarf verdeckt. Grundlage sind die Datei vertragskette_beschaeftigungsverlauf.csv, der Personalakten-Auszug sowie die interne Korrespondenz der Beklagten (E-Mails Schönfeld, Steinke, Öztürk).</w:t>
      </w:r>
    </w:p>
    <w:p>
      <w:pPr>
        <w:pStyle w:val="ListNumber"/>
      </w:pPr>
      <w:r>
        <w:t>Rechnerische Auswertung der Vertragskette</w:t>
      </w:r>
    </w:p>
    <w:p>
      <w:pPr>
        <w:jc w:val="left"/>
      </w:pPr>
      <w:r>
        <w:t>2.1 Der streitgegenständliche Vertrag vom 01.03.2024 lief bis 28.02.2026 und damit über genau vierundzwanzig Monate. Die Höchstdauer der sachgrundlosen Befristung nach § 14 Abs. 2 Satz 1 TzBfG von vierundzwanzig Monaten ist punktgenau ausgeschöpft; eine weitere sachgrundlose Verlängerung war rechtlich ausgeschlossen.</w:t>
      </w:r>
    </w:p>
    <w:p>
      <w:pPr>
        <w:jc w:val="left"/>
      </w:pPr>
      <w:r>
        <w:t>2.2 Die Zahl der Verlängerungen beträgt null; die formale Zulässigkeitsgrenze von drei Verlängerungen ist also nicht überschritten.</w:t>
      </w:r>
    </w:p>
    <w:p>
      <w:pPr>
        <w:jc w:val="left"/>
      </w:pPr>
      <w:r>
        <w:t>2.3 Zwischen dem Ende der Ferienaushilfe am 30.09.2021 und dem Beginn des zweiten Vertrages am 01.03.2024 liegen zwei Jahre und fünf Monate. Da beide Verhältnisse denselben Arbeitgeber betreffen, ist der Anwendungsbereich des Vorbeschäftigungsverbots nach § 14 Abs. 2 Satz 2 TzBfG eröffnet.</w:t>
      </w:r>
    </w:p>
    <w:p>
      <w:pPr>
        <w:pStyle w:val="ListNumber"/>
      </w:pPr>
      <w:r>
        <w:t>Bewertung des Vorbeschäftigungsverbots</w:t>
      </w:r>
    </w:p>
    <w:p>
      <w:pPr>
        <w:jc w:val="left"/>
      </w:pPr>
      <w:r>
        <w:t>3.1 Nach der Entscheidung des Bundesverfassungsgerichts vom 06.06.2018 (1 BvL 7/14) ist das Vorbeschäftigungsverbot nicht starr, sondern lässt Ausnahmen bei sehr lange zurückliegender, ganz anders gearteter oder sehr kurzer Vorbeschäftigung zu.</w:t>
      </w:r>
    </w:p>
    <w:p>
      <w:pPr>
        <w:jc w:val="left"/>
      </w:pPr>
      <w:r>
        <w:t>3.2 Die Ferienaushilfe 2021 war kurz (drei Monate), betraf einen anderen Bereich (Lager und Posteingang statt Kundenservice) und einen anderen Standort (Betriebshof Rudower Straße statt Britzer Damm). Der Abstand von zwei Jahren und fünf Monaten ist allerdings nicht besonders groß. Das Vorbeschäftigungsverbot bleibt deshalb ein Hilfsargument.</w:t>
      </w:r>
    </w:p>
    <w:p>
      <w:pPr>
        <w:pStyle w:val="ListNumber"/>
      </w:pPr>
      <w:r>
        <w:t>Diskrepanz zwischen behauptetem Befristungsanlass und tatsächlicher Dauerbeschäftigung</w:t>
      </w:r>
    </w:p>
    <w:p>
      <w:pPr>
        <w:jc w:val="left"/>
      </w:pPr>
      <w:r>
        <w:t>4.1 Die interne Begründung der Beklagten ordnete die Stelle dem Projekt Smart-Meter-Rollout als vorübergehenden Mehrbedarf zu. Dem steht die tatsächliche Tätigkeit entgegen: Frau Vogt hat durchgehend das reguläre Tagesgeschäft des Kundenservice und Vertragsmanagements erledigt.</w:t>
      </w:r>
    </w:p>
    <w:p>
      <w:pPr>
        <w:jc w:val="left"/>
      </w:pPr>
      <w:r>
        <w:t>4.2 Die E-Mail der Personalreferentin Schönfeld an den Kaufmännischen Leiter Dr. Ahrends vom 18.12.2025 räumt ausdrücklich ein, dass es sich um eine Daueraufgabe handelt und die Projektzuordnung nur der Befristung diente. Der Teamleiter Steinke bestätigt dies mit E-Mail vom 07.01.2026. Der Betriebsrat weist mit E-Mail vom 11.02.2026 darauf hin, dass die Stelle unmittelbar als unbefristete Regelstelle im Kundencenter neu ausgeschrieben wird.</w:t>
      </w:r>
    </w:p>
    <w:p>
      <w:pPr>
        <w:jc w:val="left"/>
      </w:pPr>
      <w:r>
        <w:t>4.3 Diese Unterlagen belegen einen dauerhaften Beschäftigungsbedarf. Sie stützen zwar keinen eigenständigen Unwirksamkeitsgrund gegen eine sachgrundlose Befristung, sind aber ein starkes Indiz gegen die Redlichkeit der Befristung und für die begehrte Weiterbeschäftigung.</w:t>
      </w:r>
    </w:p>
    <w:p>
      <w:pPr>
        <w:pStyle w:val="ListNumber"/>
      </w:pPr>
      <w:r>
        <w:t>Ergebnis und Empfehlung</w:t>
      </w:r>
    </w:p>
    <w:p>
      <w:pPr>
        <w:jc w:val="left"/>
      </w:pPr>
      <w:r>
        <w:t>5.1 Hauptangriff bleibt der Schriftformverstoß nach § 14 Abs. 4 TzBfG in Verbindung mit § 126 BGB, der bereits für sich zur Unwirksamkeit der Befristungsabrede und nach § 16 Satz 1 TzBfG zu einem unbefristeten Arbeitsverhältnis führt.</w:t>
      </w:r>
    </w:p>
    <w:p>
      <w:pPr>
        <w:jc w:val="left"/>
      </w:pPr>
      <w:r>
        <w:t>5.2 Die Vertragsketten-Auswertung und die interne Korrespondenz sind als Beweismittel für den dauerhaften Beschäftigungsbedarf einzuführen und stützen den Weiterbeschäftigungsantrag sowie die Vergleichsverhandlung.</w:t>
      </w:r>
    </w:p>
    <w:p>
      <w:pPr>
        <w:jc w:val="left"/>
      </w:pPr>
      <w:r>
        <w:t>5.3 Es ist ein Auskunfts- und Vorlageantrag hinsichtlich der Projektzuordnung und der Stellenausschreibung Kundencenter (§ 142 ZPO) vorzubereiten.</w:t>
      </w:r>
    </w:p>
    <w:p>
      <w:pPr>
        <w:jc w:val="left"/>
      </w:pPr>
      <w:r>
        <w:t>Rechtsanwältin Hanna Dressel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Hanna Dressel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HANNA DRESSEL</w:t>
    </w:r>
  </w:p>
  <w:p>
    <w:pPr>
      <w:jc w:val="left"/>
      <w:pBdr>
        <w:bottom w:val="single" w:sz="8" w:space="2" w:color="3B3F45"/>
      </w:pBdr>
    </w:pPr>
    <w:r>
      <w:rPr>
        <w:rFonts w:ascii="Times New Roman" w:hAnsi="Times New Roman"/>
        <w:color w:val="6B6B66"/>
        <w:sz w:val="16"/>
      </w:rPr>
      <w:t>Rechtsanwaltskanzlei · Aktenzeichen: VGT/2026/0309-ARB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