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Aktenvermerk: Schriftformprüfung § 14 Abs. 4 TzBfG</w:t>
      </w:r>
    </w:p>
    <w:p>
      <w:pPr>
        <w:ind w:left="567"/>
      </w:pPr>
      <w:r>
        <w:rPr>
          <w:b/>
          <w:i/>
        </w:rPr>
        <w:t>Aktenzeichen:</w:t>
      </w:r>
      <w:r>
        <w:rPr>
          <w:i/>
        </w:rPr>
        <w:t xml:space="preserve"> VGT/2026/0309-ARB</w:t>
      </w:r>
    </w:p>
    <w:p>
      <w:pPr>
        <w:ind w:left="567"/>
      </w:pPr>
      <w:r>
        <w:rPr>
          <w:b/>
          <w:i/>
        </w:rPr>
        <w:t>Datum:</w:t>
      </w:r>
      <w:r>
        <w:rPr>
          <w:i/>
        </w:rPr>
        <w:t xml:space="preserve"> 10. März 2026</w:t>
      </w:r>
    </w:p>
    <w:p>
      <w:pPr>
        <w:ind w:left="567"/>
      </w:pPr>
      <w:r>
        <w:t>Verfasserin: Rechtsanwältin Hanna Dressel</w:t>
      </w:r>
    </w:p>
    <w:p>
      <w:pPr>
        <w:ind w:left="567"/>
      </w:pPr>
      <w:r>
        <w:rPr>
          <w:b/>
          <w:i/>
        </w:rPr>
        <w:t>Betreff:</w:t>
      </w:r>
      <w:r>
        <w:rPr>
          <w:i/>
        </w:rPr>
        <w:t xml:space="preserve"> Rechtliche Prüfung: Wirksamkeit der Befristungsabrede, insbesondere Schriftformerfordernis § 14 Abs. 4 TzBfG, Vorbeschäftigungsverbot § 14 Abs. 2 Satz 2 TzBfG</w:t>
      </w:r>
    </w:p>
    <w:p>
      <w:pPr>
        <w:ind w:left="567"/>
      </w:pPr>
      <w:r>
        <w:rPr>
          <w:b/>
          <w:i/>
        </w:rPr>
        <w:t>Akte:</w:t>
      </w:r>
      <w:r>
        <w:rPr>
          <w:i/>
        </w:rPr>
        <w:t xml:space="preserve"> Vogt ./. Stadtwerke Neukölln GmbH</w:t>
      </w:r>
    </w:p>
    <w:p/>
    <w:p>
      <w:pPr>
        <w:pStyle w:val="Heading2"/>
      </w:pPr>
      <w:r>
        <w:rPr>
          <w:rFonts w:ascii="Times New Roman" w:hAnsi="Times New Roman"/>
        </w:rPr>
        <w:t>I. Ausgangssachverhalt</w:t>
      </w:r>
    </w:p>
    <w:p>
      <w:pPr>
        <w:jc w:val="left"/>
      </w:pPr>
      <w:r>
        <w:t>Mandantin Lena Vogt war aufgrund eines zum 01.03.2024 geschlossenen Arbeitsvertrages als</w:t>
      </w:r>
    </w:p>
    <w:p>
      <w:pPr>
        <w:jc w:val="left"/>
      </w:pPr>
      <w:r>
        <w:t>Sachbearbeiterin Kundenservice/Vertragsmanagement bei der Stadtwerke Neukölln GmbH tätig.</w:t>
      </w:r>
    </w:p>
    <w:p>
      <w:pPr>
        <w:jc w:val="left"/>
      </w:pPr>
      <w:r>
        <w:t>Der Arbeitsvertrag sah eine Befristung ohne Sachgrund nach § 14 Abs. 2 TzBfG bis</w:t>
      </w:r>
    </w:p>
    <w:p>
      <w:pPr>
        <w:jc w:val="left"/>
      </w:pPr>
      <w:r>
        <w:t>zum 28.02.2026 vor.</w:t>
      </w:r>
    </w:p>
    <w:p>
      <w:pPr>
        <w:jc w:val="left"/>
      </w:pPr>
      <w:r>
        <w:t>Für die vorliegende Prüfung entscheidend ist der Umstand, dass der Vertragsschluss</w:t>
      </w:r>
    </w:p>
    <w:p>
      <w:pPr>
        <w:jc w:val="left"/>
      </w:pPr>
      <w:r>
        <w:t>vollständig auf elektronischem Wege erfolgte:</w:t>
      </w:r>
    </w:p>
    <w:p>
      <w:pPr>
        <w:pStyle w:val="ListNumber"/>
      </w:pPr>
      <w:r>
        <w:t>Die Beklagte übermittelte den Arbeitsvertrag am 14.02.2024 als PDF-Anhang per E-Mail.</w:t>
      </w:r>
    </w:p>
    <w:p>
      <w:pPr>
        <w:pStyle w:val="ListNumber"/>
      </w:pPr>
      <w:r>
        <w:t>Vogt druckte das Dokument aus, unterzeichnete handschriftlich und scannte das Dokument ein.</w:t>
      </w:r>
    </w:p>
    <w:p>
      <w:pPr>
        <w:pStyle w:val="ListNumber"/>
      </w:pPr>
      <w:r>
        <w:t>Das Scan-PDF wurde am 16.02.2024 per E-Mail an die Personalabteilung zurückgesandt.</w:t>
      </w:r>
    </w:p>
    <w:p>
      <w:pPr>
        <w:pStyle w:val="ListNumber"/>
      </w:pPr>
      <w:r>
        <w:t>Die Beklagte bestätigte den Eingang per E-Mail ohne weitere Handlungen.</w:t>
      </w:r>
    </w:p>
    <w:p>
      <w:pPr>
        <w:pStyle w:val="ListNumber"/>
      </w:pPr>
      <w:r>
        <w:t>Vogt erhielt zu keinem Zeitpunkt eine Originalausfertigung mit eigenhändiger Unterschrift</w:t>
      </w:r>
    </w:p>
    <w:p>
      <w:pPr>
        <w:jc w:val="left"/>
      </w:pPr>
      <w:r>
        <w:t>der Beklagten.</w:t>
      </w:r>
    </w:p>
    <w:p/>
    <w:p>
      <w:pPr>
        <w:pStyle w:val="Heading2"/>
      </w:pPr>
      <w:r>
        <w:rPr>
          <w:rFonts w:ascii="Times New Roman" w:hAnsi="Times New Roman"/>
        </w:rPr>
        <w:t>II. Schriftformerfordernis nach § 14 Abs. 4 TzBfG i.V.m. § 126 BGB</w:t>
      </w:r>
    </w:p>
    <w:p>
      <w:pPr>
        <w:pStyle w:val="Heading3"/>
      </w:pPr>
      <w:r>
        <w:rPr>
          <w:rFonts w:ascii="Times New Roman" w:hAnsi="Times New Roman"/>
        </w:rPr>
        <w:t>1. Gesetzliche Grundlage</w:t>
      </w:r>
    </w:p>
    <w:p>
      <w:pPr>
        <w:jc w:val="left"/>
      </w:pPr>
      <w:r>
        <w:t>§ 14 Abs. 4 TzBfG bestimmt: *"Die Befristung des Arbeitsvertrages bedarf zu ihrer</w:t>
      </w:r>
    </w:p>
    <w:p>
      <w:pPr>
        <w:jc w:val="left"/>
      </w:pPr>
      <w:r>
        <w:t>Wirksamkeit der Schriftform."*</w:t>
      </w:r>
    </w:p>
    <w:p>
      <w:pPr>
        <w:jc w:val="left"/>
      </w:pPr>
      <w:r>
        <w:t>Die Schriftform richtet sich nach § 126 BGB. § 126 Abs. 1 BGB verlangt, dass die Urkunde</w:t>
      </w:r>
    </w:p>
    <w:p>
      <w:pPr>
        <w:jc w:val="left"/>
      </w:pPr>
      <w:r>
        <w:t>von dem Aussteller eigenhändig durch Namensunterschrift unterzeichnet sein muss.</w:t>
      </w:r>
    </w:p>
    <w:p>
      <w:pPr>
        <w:jc w:val="left"/>
      </w:pPr>
      <w:r>
        <w:t>§ 126 Abs. 2 BGB schreibt bei einem Vertrag vor, dass die Unterzeichnung der Parteien auf</w:t>
      </w:r>
    </w:p>
    <w:p>
      <w:pPr>
        <w:jc w:val="left"/>
      </w:pPr>
      <w:r>
        <w:t>derselben Urkunde erfolgt; werden über den Vertrag mehrere gleichlautende Urkunden</w:t>
      </w:r>
    </w:p>
    <w:p>
      <w:pPr>
        <w:jc w:val="left"/>
      </w:pPr>
      <w:r>
        <w:t>aufgenommen, genügt es, wenn jede Partei die für die andere Partei bestimmte Urkunde</w:t>
      </w:r>
    </w:p>
    <w:p>
      <w:pPr>
        <w:jc w:val="left"/>
      </w:pPr>
      <w:r>
        <w:t>unterzeichnet.</w:t>
      </w:r>
    </w:p>
    <w:p>
      <w:pPr>
        <w:jc w:val="left"/>
      </w:pPr>
      <w:r>
        <w:t>§ 126 Abs. 3 BGB lässt die Ersetzung der Schriftform durch die elektronische Form zu,</w:t>
      </w:r>
    </w:p>
    <w:p>
      <w:pPr>
        <w:jc w:val="left"/>
      </w:pPr>
      <w:r>
        <w:t>wenn sich aus dem Gesetz nichts anderes ergibt. Eine elektronische Form nach § 126a BGB</w:t>
      </w:r>
    </w:p>
    <w:p>
      <w:pPr>
        <w:jc w:val="left"/>
      </w:pPr>
      <w:r>
        <w:t>setzt jedoch eine qualifizierte elektronische Signatur voraus. Ein bloßes Scan-PDF oder</w:t>
      </w:r>
    </w:p>
    <w:p>
      <w:pPr>
        <w:jc w:val="left"/>
      </w:pPr>
      <w:r>
        <w:t>eine per E-Mail übermittelte Bildunterschrift genügt nicht.</w:t>
      </w:r>
    </w:p>
    <w:p>
      <w:pPr>
        <w:pStyle w:val="Heading3"/>
      </w:pPr>
      <w:r>
        <w:rPr>
          <w:rFonts w:ascii="Times New Roman" w:hAnsi="Times New Roman"/>
        </w:rPr>
        <w:t>2. Subsumtion: E-Mail-Übermittlung + Scan-Rücksendung</w:t>
      </w:r>
    </w:p>
    <w:p>
      <w:pPr>
        <w:pStyle w:val="Heading3"/>
      </w:pPr>
      <w:r>
        <w:rPr>
          <w:rFonts w:ascii="Times New Roman" w:hAnsi="Times New Roman"/>
        </w:rPr>
        <w:t>a) Kein körperliches Originaldokument</w:t>
      </w:r>
    </w:p>
    <w:p>
      <w:pPr>
        <w:jc w:val="left"/>
      </w:pPr>
      <w:r>
        <w:t>Die Beklagte hat den Arbeitsvertrag ausschließlich als PDF-Datei per E-Mail übersandt.</w:t>
      </w:r>
    </w:p>
    <w:p>
      <w:pPr>
        <w:jc w:val="left"/>
      </w:pPr>
      <w:r>
        <w:t>Ein körperliches Schriftstück mit der eigenhändigen Unterschrift der Beklagten (vertreten</w:t>
      </w:r>
    </w:p>
    <w:p>
      <w:pPr>
        <w:jc w:val="left"/>
      </w:pPr>
      <w:r>
        <w:t>durch Schönfeld) wurde der Mandantin zu keinem Zeitpunkt ausgehändigt.</w:t>
      </w:r>
    </w:p>
    <w:p>
      <w:pPr>
        <w:jc w:val="left"/>
      </w:pPr>
      <w:r>
        <w:t>Nach der Rechtsprechung des Bundesarbeitsgerichts (vgl. BAG, Urt. v. 01.12.2004,</w:t>
      </w:r>
    </w:p>
    <w:p>
      <w:pPr>
        <w:jc w:val="left"/>
      </w:pPr>
      <w:r>
        <w:t>7 AZR 198/04; BAG, Urt. v. 16.04.2008, 7 AZR 1048/06) ist für die Einhaltung des</w:t>
      </w:r>
    </w:p>
    <w:p>
      <w:pPr>
        <w:jc w:val="left"/>
      </w:pPr>
      <w:r>
        <w:t>Schriftformerfordernisses bei Papierurkunden erforderlich, dass die Befristungsabrede</w:t>
      </w:r>
    </w:p>
    <w:p>
      <w:pPr>
        <w:jc w:val="left"/>
      </w:pPr>
      <w:r>
        <w:t>in einer Urkunde oder in gleichlautenden Ausfertigungen niedergelegt ist, die von den</w:t>
      </w:r>
    </w:p>
    <w:p>
      <w:pPr>
        <w:jc w:val="left"/>
      </w:pPr>
      <w:r>
        <w:t>Parteien formwirksam unterzeichnet wurden.</w:t>
      </w:r>
    </w:p>
    <w:p>
      <w:pPr>
        <w:pStyle w:val="Heading3"/>
      </w:pPr>
      <w:r>
        <w:rPr>
          <w:rFonts w:ascii="Times New Roman" w:hAnsi="Times New Roman"/>
        </w:rPr>
        <w:t>b) Scan-PDF als elektronisches Dokument</w:t>
      </w:r>
    </w:p>
    <w:p>
      <w:pPr>
        <w:jc w:val="left"/>
      </w:pPr>
      <w:r>
        <w:t>Das von Vogt eingescannte und zurückgesandte PDF stellt keine eigenhändige Unterschrift im</w:t>
      </w:r>
    </w:p>
    <w:p>
      <w:pPr>
        <w:jc w:val="left"/>
      </w:pPr>
      <w:r>
        <w:t>Sinne des § 126 BGB dar. Ein Scan einer Unterschrift ist eine bloße Abbildung derselben,</w:t>
      </w:r>
    </w:p>
    <w:p>
      <w:pPr>
        <w:jc w:val="left"/>
      </w:pPr>
      <w:r>
        <w:t>keine eigenhändige Namensunterschrift. Das Dokument verlässt die Papierform und wird in</w:t>
      </w:r>
    </w:p>
    <w:p>
      <w:pPr>
        <w:jc w:val="left"/>
      </w:pPr>
      <w:r>
        <w:t>ein elektronisches Dokument umgewandelt, das die körperliche Urkundenqualität verliert.</w:t>
      </w:r>
    </w:p>
    <w:p>
      <w:pPr>
        <w:jc w:val="left"/>
      </w:pPr>
      <w:r>
        <w:t>Für die elektronische Form wäre gemäß § 126a BGB eine qualifizierte elektronische Signatur</w:t>
      </w:r>
    </w:p>
    <w:p>
      <w:pPr>
        <w:jc w:val="left"/>
      </w:pPr>
      <w:r>
        <w:t>erforderlich. Diese liegt unstreitig nicht vor; die Akte enthält nur Ausdruck, Handsignatur</w:t>
      </w:r>
    </w:p>
    <w:p>
      <w:pPr>
        <w:jc w:val="left"/>
      </w:pPr>
      <w:r>
        <w:t>der Arbeitnehmerin, Scan und E-Mail-Rücksendung.</w:t>
      </w:r>
    </w:p>
    <w:p>
      <w:pPr>
        <w:pStyle w:val="Heading3"/>
      </w:pPr>
      <w:r>
        <w:rPr>
          <w:rFonts w:ascii="Times New Roman" w:hAnsi="Times New Roman"/>
        </w:rPr>
        <w:t>c) Zwischenergebnis</w:t>
      </w:r>
    </w:p>
    <w:p>
      <w:pPr>
        <w:jc w:val="left"/>
      </w:pPr>
      <w:r>
        <w:t>Die Befristungsabrede erfüllt die Anforderungen des § 14 Abs. 4 TzBfG i.V.m. § 126 BGB</w:t>
      </w:r>
    </w:p>
    <w:p>
      <w:pPr>
        <w:jc w:val="left"/>
      </w:pPr>
      <w:r>
        <w:t>nicht. Ein Schriftformverstoß liegt vor.</w:t>
      </w:r>
    </w:p>
    <w:p>
      <w:pPr>
        <w:pStyle w:val="Heading3"/>
      </w:pPr>
      <w:r>
        <w:rPr>
          <w:rFonts w:ascii="Times New Roman" w:hAnsi="Times New Roman"/>
        </w:rPr>
        <w:t>3. Rechtsfolge: § 16 Satz 1 TzBfG</w:t>
      </w:r>
    </w:p>
    <w:p>
      <w:pPr>
        <w:jc w:val="left"/>
      </w:pPr>
      <w:r>
        <w:t>Ist die Befristungsabrede unwirksam, gilt nach § 16 Satz 1 TzBfG der Arbeitsvertrag als</w:t>
      </w:r>
    </w:p>
    <w:p>
      <w:pPr>
        <w:jc w:val="left"/>
      </w:pPr>
      <w:r>
        <w:t>auf unbestimmte Zeit geschlossen. Das Arbeitsverhältnis besteht damit fort. Die Stadtwerke</w:t>
      </w:r>
    </w:p>
    <w:p>
      <w:pPr>
        <w:jc w:val="left"/>
      </w:pPr>
      <w:r>
        <w:t>Neukölln GmbH hat das Arbeitsverhältnis faktisch ohne Kündigung beendet, was einem</w:t>
      </w:r>
    </w:p>
    <w:p>
      <w:pPr>
        <w:jc w:val="left"/>
      </w:pPr>
      <w:r>
        <w:t>Verstoß gegen den allgemeinen Kündigungsschutz gleichkommt, sofern KSchG-Voraussetzungen</w:t>
      </w:r>
    </w:p>
    <w:p>
      <w:pPr>
        <w:jc w:val="left"/>
      </w:pPr>
      <w:r>
        <w:t>vorliegen (Betrieb &gt; 10 AN, Beschäftigungszeit &gt; 6 Monate — beides ist vorliegend gegeben).</w:t>
      </w:r>
    </w:p>
    <w:p/>
    <w:p>
      <w:pPr>
        <w:pStyle w:val="Heading2"/>
      </w:pPr>
      <w:r>
        <w:rPr>
          <w:rFonts w:ascii="Times New Roman" w:hAnsi="Times New Roman"/>
        </w:rPr>
        <w:t>III. Vorbeschäftigungsverbot § 14 Abs. 2 Satz 2 TzBfG (Hilfsüberlegung)</w:t>
      </w:r>
    </w:p>
    <w:p>
      <w:pPr>
        <w:pStyle w:val="Heading3"/>
      </w:pPr>
      <w:r>
        <w:rPr>
          <w:rFonts w:ascii="Times New Roman" w:hAnsi="Times New Roman"/>
        </w:rPr>
        <w:t>1. Tatbestand</w:t>
      </w:r>
    </w:p>
    <w:p>
      <w:pPr>
        <w:jc w:val="left"/>
      </w:pPr>
      <w:r>
        <w:t>§ 14 Abs. 2 Satz 2 TzBfG bestimmt, dass eine sachgrundlose Befristung nicht zulässig ist,</w:t>
      </w:r>
    </w:p>
    <w:p>
      <w:pPr>
        <w:jc w:val="left"/>
      </w:pPr>
      <w:r>
        <w:t>wenn mit demselben Arbeitgeber bereits zuvor ein befristetes oder unbefristetes</w:t>
      </w:r>
    </w:p>
    <w:p>
      <w:pPr>
        <w:jc w:val="left"/>
      </w:pPr>
      <w:r>
        <w:t>Arbeitsverhältnis bestanden hat.</w:t>
      </w:r>
    </w:p>
    <w:p>
      <w:pPr>
        <w:jc w:val="left"/>
      </w:pPr>
      <w:r>
        <w:t>Vogt war vom 01.07.2021 bis 30.09.2021 als Ferienaushilfskraft im Bereich Lager/Posteingang</w:t>
      </w:r>
    </w:p>
    <w:p>
      <w:pPr>
        <w:jc w:val="left"/>
      </w:pPr>
      <w:r>
        <w:t>am Betriebshof Rudower Straße 14 tätig. Dies stellt eine Vorbeschäftigung beim selben</w:t>
      </w:r>
    </w:p>
    <w:p>
      <w:pPr>
        <w:jc w:val="left"/>
      </w:pPr>
      <w:r>
        <w:t>Arbeitgeber dar.</w:t>
      </w:r>
    </w:p>
    <w:p>
      <w:pPr>
        <w:pStyle w:val="Heading3"/>
      </w:pPr>
      <w:r>
        <w:rPr>
          <w:rFonts w:ascii="Times New Roman" w:hAnsi="Times New Roman"/>
        </w:rPr>
        <w:t>2. BVerfG-Entscheidung 2018</w:t>
      </w:r>
    </w:p>
    <w:p>
      <w:pPr>
        <w:jc w:val="left"/>
      </w:pPr>
      <w:r>
        <w:t>Das Bundesverfassungsgericht hat mit Beschluss vom 06.06.2018 (1 BvL 7/14, 1 BvR 1375/14)</w:t>
      </w:r>
    </w:p>
    <w:p>
      <w:pPr>
        <w:jc w:val="left"/>
      </w:pPr>
      <w:r>
        <w:t>entschieden, dass § 14 Abs. 2 Satz 2 TzBfG verfassungskonform dahingehend auszulegen ist,</w:t>
      </w:r>
    </w:p>
    <w:p>
      <w:pPr>
        <w:jc w:val="left"/>
      </w:pPr>
      <w:r>
        <w:t>dass das Verbot ausnahmsweise nicht eingreift, wenn eine Vorbeschäftigung sehr lange</w:t>
      </w:r>
    </w:p>
    <w:p>
      <w:pPr>
        <w:jc w:val="left"/>
      </w:pPr>
      <w:r>
        <w:t>zurückliegt, ganz anders geartet war oder von sehr kurzer Dauer war. Eine starre</w:t>
      </w:r>
    </w:p>
    <w:p>
      <w:pPr>
        <w:jc w:val="left"/>
      </w:pPr>
      <w:r>
        <w:t>Drei-Jahres-Grenze gibt es nicht.</w:t>
      </w:r>
    </w:p>
    <w:p>
      <w:pPr>
        <w:pStyle w:val="Heading3"/>
      </w:pPr>
      <w:r>
        <w:rPr>
          <w:rFonts w:ascii="Times New Roman" w:hAnsi="Times New Roman"/>
        </w:rPr>
        <w:t>3. Subsumtion</w:t>
      </w:r>
    </w:p>
    <w:p>
      <w:pPr>
        <w:jc w:val="left"/>
      </w:pPr>
      <w:r>
        <w:t>Im vorliegenden Fall:</w:t>
      </w:r>
    </w:p>
    <w:p>
      <w:pPr>
        <w:pStyle w:val="ListBullet"/>
      </w:pPr>
      <w:r>
        <w:rPr>
          <w:b/>
        </w:rPr>
        <w:t>Zeitabstand:</w:t>
      </w:r>
      <w:r>
        <w:t xml:space="preserve"> 2 Jahre und 5 Monate (30.09.2021 → 01.03.2024) — nicht sehr lang,</w:t>
      </w:r>
    </w:p>
    <w:p>
      <w:pPr>
        <w:jc w:val="left"/>
      </w:pPr>
      <w:r>
        <w:t>aber auch kein klassischer unmittelbarer Anschluss.</w:t>
      </w:r>
    </w:p>
    <w:p>
      <w:pPr>
        <w:pStyle w:val="ListBullet"/>
      </w:pPr>
      <w:r>
        <w:rPr>
          <w:b/>
        </w:rPr>
        <w:t>Andere Tätigkeit:</w:t>
      </w:r>
      <w:r>
        <w:t xml:space="preserve"> Lager/Posteingang (2021) vs. Kundenservice/Vertragsmanagement (2024)</w:t>
      </w:r>
    </w:p>
    <w:p>
      <w:pPr>
        <w:jc w:val="left"/>
      </w:pPr>
      <w:r>
        <w:t>→ erheblich unterschiedliche Tätigkeitsfelder.</w:t>
      </w:r>
    </w:p>
    <w:p>
      <w:pPr>
        <w:pStyle w:val="ListBullet"/>
      </w:pPr>
      <w:r>
        <w:rPr>
          <w:b/>
        </w:rPr>
        <w:t>Anderer Standort:</w:t>
      </w:r>
      <w:r>
        <w:t xml:space="preserve"> Betriebshof Rudower Straße 14 vs. Hauptniederlassung Britzer Damm 221.</w:t>
      </w:r>
    </w:p>
    <w:p>
      <w:pPr>
        <w:pStyle w:val="ListBullet"/>
      </w:pPr>
      <w:r>
        <w:rPr>
          <w:b/>
        </w:rPr>
        <w:t>Anderer Vertragstyp:</w:t>
      </w:r>
      <w:r>
        <w:t xml:space="preserve"> Geringfügige Beschäftigung / Ferienaushilfe vs. Vollzeit.</w:t>
      </w:r>
    </w:p>
    <w:p>
      <w:pPr>
        <w:jc w:val="left"/>
      </w:pPr>
      <w:r>
        <w:rPr>
          <w:b/>
        </w:rPr>
        <w:t>Ergebnis:</w:t>
      </w:r>
      <w:r>
        <w:t xml:space="preserve"> Bei einer Gesamtwürdigung überwiegen die Gesichtspunkte, die gegen einen</w:t>
      </w:r>
    </w:p>
    <w:p>
      <w:pPr>
        <w:jc w:val="left"/>
      </w:pPr>
      <w:r>
        <w:t>institutionellen Rechtsmissbrauch sprechen. Das Vorbeschäftigungsverbot greift wahrscheinlich</w:t>
      </w:r>
    </w:p>
    <w:p>
      <w:pPr>
        <w:jc w:val="left"/>
      </w:pPr>
      <w:r>
        <w:t>nicht. Dennoch ist das Argument vor Gericht vertretbar und sollte als Hilfsargument in der</w:t>
      </w:r>
    </w:p>
    <w:p>
      <w:pPr>
        <w:jc w:val="left"/>
      </w:pPr>
      <w:r>
        <w:t>Klageschrift aufgeführt werden (Subsidiarität gegenüber dem Schriftformverstoß).</w:t>
      </w:r>
    </w:p>
    <w:p/>
    <w:p>
      <w:pPr>
        <w:pStyle w:val="Heading2"/>
      </w:pPr>
      <w:r>
        <w:rPr>
          <w:rFonts w:ascii="Times New Roman" w:hAnsi="Times New Roman"/>
        </w:rPr>
        <w:t>IV. Ergebnis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Schriftformverstoß § 14 Abs. 4 TzBfG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Sehr stark</w:t>
            </w:r>
            <w:r>
              <w:rPr>
                <w:rFonts w:ascii="Times New Roman" w:hAnsi="Times New Roman"/>
                <w:sz w:val="20"/>
              </w:rPr>
              <w:t xml:space="preserve"> — E-Mail + Scan genügt nicht § 126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Primär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Vorbeschäftigungsverbot § 14 Abs. 2 Satz 2 TzBfG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Vertretbar, aber streitig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Subsidär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3-Wochen-Frist § 17 TzBfG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läuft wegen Samstag erst am 23.03.2026 ab; Klage dennoch sofort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Sofortmaßnahme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Unverzügliche Einreichung der Befristungskontrollklage beim ArbG Berlin</w:t>
      </w:r>
    </w:p>
    <w:p>
      <w:pPr>
        <w:jc w:val="left"/>
      </w:pPr>
      <w:r>
        <w:t>mit dem Hauptantrag auf Feststellung des Fortbestehens des Arbeitsverhältnisses (gestützt</w:t>
      </w:r>
    </w:p>
    <w:p>
      <w:pPr>
        <w:jc w:val="left"/>
      </w:pPr>
      <w:r>
        <w:t>auf Schriftformverstoß) und dem Hilfsantrag (Vorbeschäftigungsverbot). Zusätzlich Antrag auf</w:t>
      </w:r>
    </w:p>
    <w:p>
      <w:pPr>
        <w:jc w:val="left"/>
      </w:pPr>
      <w:r>
        <w:t>vorläufige Weiterbeschäftigung nach BAG GS 1/84.</w:t>
      </w:r>
    </w:p>
    <w:p>
      <w:pPr>
        <w:jc w:val="left"/>
      </w:pPr>
      <w:r>
        <w:t xml:space="preserve">Klageeinreichung bis spätestens </w:t>
      </w:r>
      <w:r>
        <w:rPr>
          <w:b/>
        </w:rPr>
        <w:t>18.03.2026</w:t>
      </w:r>
      <w:r>
        <w:t xml:space="preserve"> (2 Werktage Puffer vor Fristablauf).</w:t>
      </w:r>
    </w:p>
    <w:p/>
    <w:p>
      <w:pPr>
        <w:jc w:val="left"/>
      </w:pPr>
      <w:r>
        <w:t>Rechtsanwältin Hanna Dressel, VGT/2026/0309-ARB, 10.03.2026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Hanna Dressel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RECHTSANWÄLTIN HANNA DRESSEL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 · Aktenzeichen: VGT/2026/0309-ARB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