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Paragraf 119 BGB — Irrtumsanfechtung der Anweisung (Werkstatt Schmiedeknecht)</w:t>
      </w:r>
    </w:p>
    <w:p>
      <w:pPr>
        <w:jc w:val="left"/>
      </w:pPr>
      <w:r>
        <w:rPr>
          <w:b/>
        </w:rPr>
        <w:t>Aktenzeichen:</w:t>
      </w:r>
      <w:r>
        <w:t xml:space="preserve"> LG Bonn 16 O 211/26 (Nebenanspruch)</w:t>
      </w:r>
    </w:p>
    <w:p>
      <w:pPr>
        <w:jc w:val="left"/>
      </w:pPr>
      <w:r>
        <w:rPr>
          <w:b/>
        </w:rPr>
        <w:t>Rechtsfrage:</w:t>
      </w:r>
      <w:r>
        <w:t xml:space="preserve"> Wirksamkeit der Irrtumsanfechtung der Zahlungsanweisung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Bischof-Hellberg behauptet, er habe bei Erteilung der Zahlungsanweisung</w:t>
      </w:r>
    </w:p>
    <w:p>
      <w:pPr>
        <w:jc w:val="left"/>
      </w:pPr>
      <w:r>
        <w:t>über 78.000 EUR an die Volksbank Bonn einen Irrtum begangen: Er habe</w:t>
      </w:r>
    </w:p>
    <w:p>
      <w:pPr>
        <w:jc w:val="left"/>
      </w:pPr>
      <w:r>
        <w:t>die Riedering Klassik-Service GmbH (Köln-Braunsfeld) beauftragen wollen,</w:t>
      </w:r>
    </w:p>
    <w:p>
      <w:pPr>
        <w:jc w:val="left"/>
      </w:pPr>
      <w:r>
        <w:t>stattdessen sei aufgrund eines Missverständnisses mit dem Bankberater die</w:t>
      </w:r>
    </w:p>
    <w:p>
      <w:pPr>
        <w:jc w:val="left"/>
      </w:pPr>
      <w:r>
        <w:t>Schmiedeknecht-Restaurations-KG (Köln-Ehrenfeld) als Empfänger eingetragen worden.</w:t>
      </w:r>
    </w:p>
    <w:p/>
    <w:p>
      <w:pPr>
        <w:pStyle w:val="Heading2"/>
      </w:pPr>
      <w:r>
        <w:rPr>
          <w:rFonts w:ascii="Times New Roman" w:hAnsi="Times New Roman"/>
        </w:rPr>
        <w:t>2. Anfechtungsvoraussetzungen (Paragraf 119 BGB)</w:t>
      </w:r>
    </w:p>
    <w:p>
      <w:pPr>
        <w:pStyle w:val="Heading3"/>
      </w:pPr>
      <w:r>
        <w:rPr>
          <w:rFonts w:ascii="Times New Roman" w:hAnsi="Times New Roman"/>
        </w:rPr>
        <w:t>2.1 Anfechtungsgrund</w:t>
      </w:r>
    </w:p>
    <w:p>
      <w:pPr>
        <w:jc w:val="left"/>
      </w:pPr>
      <w:r>
        <w:rPr>
          <w:b/>
        </w:rPr>
        <w:t>Paragraf 119 Abs. 1 BGB:</w:t>
      </w:r>
    </w:p>
    <w:p>
      <w:pPr>
        <w:jc w:val="left"/>
      </w:pPr>
      <w:r>
        <w:t>Wer bei der Abgabe einer Willenserklärung über deren Inhalt im Irrtum war</w:t>
      </w:r>
    </w:p>
    <w:p>
      <w:pPr>
        <w:jc w:val="left"/>
      </w:pPr>
      <w:r>
        <w:t>oder eine Erklärung dieses Inhalts überhaupt nicht abgeben wollte,</w:t>
      </w:r>
    </w:p>
    <w:p>
      <w:pPr>
        <w:jc w:val="left"/>
      </w:pPr>
      <w:r>
        <w:t>kann die Erklärung anfechten.</w:t>
      </w:r>
    </w:p>
    <w:p>
      <w:pPr>
        <w:jc w:val="left"/>
      </w:pPr>
      <w:r>
        <w:rPr>
          <w:b/>
        </w:rPr>
        <w:t>Art des Irrtums im vorliegenden Fall:</w:t>
      </w:r>
    </w:p>
    <w:p>
      <w:pPr>
        <w:pStyle w:val="ListBullet"/>
      </w:pPr>
      <w:r>
        <w:t>Bischof-Hellberg kannte die Schmiedeknecht-Restaurations-KG (er wollte</w:t>
      </w:r>
    </w:p>
    <w:p>
      <w:pPr>
        <w:jc w:val="left"/>
      </w:pPr>
      <w:r>
        <w:t>bewusst eine andere Werkstatt)</w:t>
      </w:r>
    </w:p>
    <w:p>
      <w:pPr>
        <w:pStyle w:val="ListBullet"/>
      </w:pPr>
      <w:r>
        <w:t xml:space="preserve">Irrtum über den </w:t>
      </w:r>
      <w:r>
        <w:rPr>
          <w:b/>
        </w:rPr>
        <w:t>Inhalt</w:t>
      </w:r>
      <w:r>
        <w:t xml:space="preserve"> der Willenserklärung (falsche Empfänger-IBAN</w:t>
      </w:r>
    </w:p>
    <w:p>
      <w:pPr>
        <w:jc w:val="left"/>
      </w:pPr>
      <w:r>
        <w:t>wurde eingetragen)</w:t>
      </w:r>
    </w:p>
    <w:p>
      <w:pPr>
        <w:pStyle w:val="ListBullet"/>
      </w:pPr>
      <w:r>
        <w:t xml:space="preserve">Qualifikation: </w:t>
      </w:r>
      <w:r>
        <w:rPr>
          <w:b/>
        </w:rPr>
        <w:t>Inhaltsirrtum</w:t>
      </w:r>
      <w:r>
        <w:t xml:space="preserve"> nach Paragraf 119 Abs. 1 1. Alt. BGB</w:t>
      </w:r>
    </w:p>
    <w:p>
      <w:pPr>
        <w:jc w:val="left"/>
      </w:pPr>
      <w:r>
        <w:rPr>
          <w:b/>
        </w:rPr>
        <w:t>Alternativ:</w:t>
      </w:r>
      <w:r>
        <w:t xml:space="preserve"> Irrtum über die </w:t>
      </w:r>
      <w:r>
        <w:rPr>
          <w:b/>
        </w:rPr>
        <w:t>Person</w:t>
      </w:r>
      <w:r>
        <w:t xml:space="preserve"> des Empfängers = wesentliche Eigenschaft</w:t>
      </w:r>
    </w:p>
    <w:p>
      <w:pPr>
        <w:jc w:val="left"/>
      </w:pPr>
      <w:r>
        <w:t>i.S.d. Paragrafen 119 Abs. 2 BGB, wenn die Identität des Zahlungsempfängers</w:t>
      </w:r>
    </w:p>
    <w:p>
      <w:pPr>
        <w:jc w:val="left"/>
      </w:pPr>
      <w:r>
        <w:t>für die Anweisung entscheidend war.</w:t>
      </w:r>
    </w:p>
    <w:p>
      <w:pPr>
        <w:pStyle w:val="Heading3"/>
      </w:pPr>
      <w:r>
        <w:rPr>
          <w:rFonts w:ascii="Times New Roman" w:hAnsi="Times New Roman"/>
        </w:rPr>
        <w:t>2.2 Wesentlichkeit des Irrtums</w:t>
      </w:r>
    </w:p>
    <w:p>
      <w:pPr>
        <w:jc w:val="left"/>
      </w:pPr>
      <w:r>
        <w:t>Der Irrtum muss wesentlich sein:</w:t>
      </w:r>
    </w:p>
    <w:p>
      <w:pPr>
        <w:pStyle w:val="ListBullet"/>
      </w:pPr>
      <w:r>
        <w:t>Bei gleichwertigen Werkstätten: u.U. nicht wesentlich</w:t>
      </w:r>
    </w:p>
    <w:p>
      <w:pPr>
        <w:pStyle w:val="ListBullet"/>
      </w:pPr>
      <w:r>
        <w:t>Bei erheblichem Qualitäts- oder Preisunterschied: wesentlich</w:t>
      </w:r>
    </w:p>
    <w:p>
      <w:pPr>
        <w:pStyle w:val="ListBullet"/>
      </w:pPr>
      <w:r>
        <w:t>Hier: Bischof-Hellberg hatte mit der Schmiedeknecht-KG keinen Vertrag;</w:t>
      </w:r>
    </w:p>
    <w:p>
      <w:pPr>
        <w:jc w:val="left"/>
      </w:pPr>
      <w:r>
        <w:t xml:space="preserve">der Irrtum über den Vertragspartner ist </w:t>
      </w:r>
      <w:r>
        <w:rPr>
          <w:b/>
        </w:rPr>
        <w:t>immer wesentlich</w:t>
      </w:r>
      <w:r>
        <w:t xml:space="preserve"> i.S.d. Paragrafen 119 Abs. 1 BGB</w:t>
      </w:r>
    </w:p>
    <w:p>
      <w:pPr>
        <w:pStyle w:val="Heading3"/>
      </w:pPr>
      <w:r>
        <w:rPr>
          <w:rFonts w:ascii="Times New Roman" w:hAnsi="Times New Roman"/>
        </w:rPr>
        <w:t>2.3 Frist (Paragraf 121 BGB)</w:t>
      </w:r>
    </w:p>
    <w:p>
      <w:pPr>
        <w:jc w:val="left"/>
      </w:pPr>
      <w:r>
        <w:rPr>
          <w:b/>
        </w:rPr>
        <w:t>Paragraf 121 Abs. 1 BGB:</w:t>
      </w:r>
      <w:r>
        <w:t xml:space="preserve"> Unverzüglich (ohne schuldhaftes Zögern)</w:t>
      </w:r>
    </w:p>
    <w:p>
      <w:pPr>
        <w:jc w:val="left"/>
      </w:pPr>
      <w:r>
        <w:t>nach Kenntniserlangung des Anfechtungsgrunds.</w:t>
      </w:r>
    </w:p>
    <w:p>
      <w:pPr>
        <w:jc w:val="left"/>
      </w:pPr>
      <w:r>
        <w:t>Anweisung: 15.04.2025</w:t>
      </w:r>
    </w:p>
    <w:p>
      <w:pPr>
        <w:jc w:val="left"/>
      </w:pPr>
      <w:r>
        <w:t>Kenntnis des Irrtums (Bischof-Hellberg bemerkt falsche Empfängerbezeichnung): 18.05.2025</w:t>
      </w:r>
    </w:p>
    <w:p>
      <w:pPr>
        <w:jc w:val="left"/>
      </w:pPr>
      <w:r>
        <w:t xml:space="preserve">Anfechtung: 20.05.2025 → 2 Tage nach Kenntniserlangung → </w:t>
      </w:r>
      <w:r>
        <w:rPr>
          <w:b/>
        </w:rPr>
        <w:t>rechtzeitig</w:t>
      </w:r>
      <w:r>
        <w:t xml:space="preserve"> ✓</w:t>
      </w:r>
    </w:p>
    <w:p/>
    <w:p>
      <w:pPr>
        <w:pStyle w:val="Heading2"/>
      </w:pPr>
      <w:r>
        <w:rPr>
          <w:rFonts w:ascii="Times New Roman" w:hAnsi="Times New Roman"/>
        </w:rPr>
        <w:t>3. Wirkung der Anfechtung</w:t>
      </w:r>
    </w:p>
    <w:p>
      <w:pPr>
        <w:jc w:val="left"/>
      </w:pPr>
      <w:r>
        <w:rPr>
          <w:b/>
        </w:rPr>
        <w:t>Paragraf 142 Abs. 1 BGB:</w:t>
      </w:r>
      <w:r>
        <w:t xml:space="preserve"> Das anfechtbare Rechtsgeschäft gilt als von</w:t>
      </w:r>
    </w:p>
    <w:p>
      <w:pPr>
        <w:jc w:val="left"/>
      </w:pPr>
      <w:r>
        <w:t>Anfang an nichtig (ex tunc).</w:t>
      </w:r>
    </w:p>
    <w:p>
      <w:pPr>
        <w:jc w:val="left"/>
      </w:pPr>
      <w:r>
        <w:rPr>
          <w:b/>
        </w:rPr>
        <w:t>Konsequenz:</w:t>
      </w:r>
    </w:p>
    <w:p>
      <w:pPr>
        <w:pStyle w:val="ListBullet"/>
      </w:pPr>
      <w:r>
        <w:t>Anweisung an die Volksbank Bonn ist rückwirkend nichtig</w:t>
      </w:r>
    </w:p>
    <w:p>
      <w:pPr>
        <w:pStyle w:val="ListBullet"/>
      </w:pPr>
      <w:r>
        <w:t>Die Kontobelastung bei Bischof-Hellberg war unberechtigt</w:t>
      </w:r>
    </w:p>
    <w:p>
      <w:pPr>
        <w:pStyle w:val="ListBullet"/>
      </w:pPr>
      <w:r>
        <w:t>Volksbank Bonn hat keinen Aufwendungsersatzanspruch aus dem (nichtigen)</w:t>
      </w:r>
    </w:p>
    <w:p>
      <w:pPr>
        <w:jc w:val="left"/>
      </w:pPr>
      <w:r>
        <w:t>Geschäftsbesorgungsvertrag</w:t>
      </w:r>
    </w:p>
    <w:p/>
    <w:p>
      <w:pPr>
        <w:pStyle w:val="Heading2"/>
      </w:pPr>
      <w:r>
        <w:rPr>
          <w:rFonts w:ascii="Times New Roman" w:hAnsi="Times New Roman"/>
        </w:rPr>
        <w:t>4. Schadensersatz nach Paragraf 122 BGB</w:t>
      </w:r>
    </w:p>
    <w:p>
      <w:pPr>
        <w:jc w:val="left"/>
      </w:pPr>
      <w:r>
        <w:rPr>
          <w:b/>
        </w:rPr>
        <w:t>Paragraf 122 Abs. 1 BGB:</w:t>
      </w:r>
      <w:r>
        <w:t xml:space="preserve"> Der Anfechtende hat dem Anfechtungsgegner</w:t>
      </w:r>
    </w:p>
    <w:p>
      <w:pPr>
        <w:jc w:val="left"/>
      </w:pPr>
      <w:r>
        <w:t>und Dritten, die auf die Gültigkeit der Erklärung vertraut haben,</w:t>
      </w:r>
    </w:p>
    <w:p>
      <w:pPr>
        <w:jc w:val="left"/>
      </w:pPr>
      <w:r>
        <w:t>den Schaden zu ersetzen, der durch das Vertrauen auf die Gültigkeit entstanden ist</w:t>
      </w:r>
    </w:p>
    <w:p>
      <w:pPr>
        <w:jc w:val="left"/>
      </w:pPr>
      <w:r>
        <w:t>(Vertrauensschaden, negatives Interesse).</w:t>
      </w:r>
    </w:p>
    <w:p>
      <w:pPr>
        <w:jc w:val="left"/>
      </w:pPr>
      <w:r>
        <w:rPr>
          <w:b/>
        </w:rPr>
        <w:t>Ansprüche der Schmiedeknecht-KG gegen Bischof-Hellberg (Paragraf 122 BGB):</w:t>
      </w:r>
    </w:p>
    <w:p>
      <w:pPr>
        <w:jc w:val="left"/>
      </w:pPr>
      <w:r>
        <w:t>Sofern Schmiedeknecht-KG vertraut hat:</w:t>
      </w:r>
    </w:p>
    <w:p>
      <w:pPr>
        <w:pStyle w:val="ListBullet"/>
      </w:pPr>
      <w:r>
        <w:t>Kosten für begonnene Restaurierungsarbeiten: ggf. Materialkosten, Arbeitsstunden</w:t>
      </w:r>
    </w:p>
    <w:p>
      <w:pPr>
        <w:pStyle w:val="ListBullet"/>
      </w:pPr>
      <w:r>
        <w:t>Entgangener Gewinn für abgesagte andere Aufträge (Opportunitätskosten)</w:t>
      </w:r>
    </w:p>
    <w:p>
      <w:pPr>
        <w:jc w:val="left"/>
      </w:pPr>
      <w:r>
        <w:rPr>
          <w:b/>
        </w:rPr>
        <w:t>Grenze:</w:t>
      </w:r>
      <w:r>
        <w:t xml:space="preserve"> Paragraf 122 Abs. 2 BGB: Kein Ersatz, wenn der Anfechtungsgegner</w:t>
      </w:r>
    </w:p>
    <w:p>
      <w:pPr>
        <w:jc w:val="left"/>
      </w:pPr>
      <w:r>
        <w:t>den Anfechtungsgrund kannte oder kennen musste.</w:t>
      </w:r>
    </w:p>
    <w:p/>
    <w:p>
      <w:pPr>
        <w:pStyle w:val="Heading2"/>
      </w:pPr>
      <w:r>
        <w:rPr>
          <w:rFonts w:ascii="Times New Roman" w:hAnsi="Times New Roman"/>
        </w:rPr>
        <w:t>5. Ergebnis</w:t>
      </w:r>
    </w:p>
    <w:p>
      <w:pPr>
        <w:jc w:val="left"/>
      </w:pPr>
      <w:r>
        <w:t>Die Irrtumsanfechtung nach Paragraf 119 Abs. 1 BGB ist formell wirksam.</w:t>
      </w:r>
    </w:p>
    <w:p>
      <w:pPr>
        <w:jc w:val="left"/>
      </w:pPr>
      <w:r>
        <w:t>Inhaltlich ist sie als Inhaltsirrtum zu qualifizieren. Die Kontobelastung</w:t>
      </w:r>
    </w:p>
    <w:p>
      <w:pPr>
        <w:jc w:val="left"/>
      </w:pPr>
      <w:r>
        <w:t>war unberechtigt; die Volksbank Bonn kann bei der Schmiedeknecht-KG</w:t>
      </w:r>
    </w:p>
    <w:p>
      <w:pPr>
        <w:jc w:val="left"/>
      </w:pPr>
      <w:r>
        <w:t>Rückforderung der 78.000 EUR geltend machen.</w:t>
      </w:r>
    </w:p>
    <w:p>
      <w:pPr>
        <w:jc w:val="left"/>
      </w:pPr>
      <w:r>
        <w:t>Bischof-Hellberg muss jedoch der Schmiedeknecht-KG nach Paragraf 122 BGB</w:t>
      </w:r>
    </w:p>
    <w:p>
      <w:pPr>
        <w:jc w:val="left"/>
      </w:pPr>
      <w:r>
        <w:t>den Vertrauensschaden ersetzen — soweit deren Disposition auf die Wirksamkeit</w:t>
      </w:r>
    </w:p>
    <w:p>
      <w:pPr>
        <w:jc w:val="left"/>
      </w:pPr>
      <w:r>
        <w:t>der Anweisung beruhte.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119 BGB: https://dejure.org/gesetze/BGB/119.html</w:t>
      </w:r>
    </w:p>
    <w:p>
      <w:pPr>
        <w:pStyle w:val="ListBullet"/>
      </w:pPr>
      <w:r>
        <w:t>Paragraf 121 BGB: https://dejure.org/gesetze/BGB/121.html</w:t>
      </w:r>
    </w:p>
    <w:p>
      <w:pPr>
        <w:pStyle w:val="ListBullet"/>
      </w:pPr>
      <w:r>
        <w:t>Paragraf 122 BGB: https://dejure.org/gesetze/BGB/122.html</w:t>
      </w:r>
    </w:p>
    <w:p>
      <w:pPr>
        <w:pStyle w:val="ListBullet"/>
      </w:pPr>
      <w:r>
        <w:t>Paragraf 142 BGB: https://dejure.org/gesetze/BGB/142.html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Riedering Klassik-Service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Riedering Klassik-Service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Aktenzeichen: LG Bonn 16 O 211/26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