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21 Rechtsgutachten — Zusammenfassende Bewertung aller Ansprüche</w:t>
      </w:r>
    </w:p>
    <w:p>
      <w:pPr>
        <w:jc w:val="left"/>
      </w:pPr>
      <w:r>
        <w:rPr>
          <w:b/>
        </w:rPr>
        <w:t>Aktenzeichen:</w:t>
      </w:r>
      <w:r>
        <w:t xml:space="preserve"> LG Bonn 16 O 211/26, AG Hamburg 67 IN 88/26, LG Bonn 4 O 188/26</w:t>
      </w:r>
    </w:p>
    <w:p>
      <w:pPr>
        <w:jc w:val="left"/>
      </w:pPr>
      <w:r>
        <w:rPr>
          <w:b/>
        </w:rPr>
        <w:t>Erstellt von:</w:t>
      </w:r>
      <w:r>
        <w:t xml:space="preserve"> RA Dr. Tilman Spethmann</w:t>
      </w:r>
    </w:p>
    <w:p>
      <w:pPr>
        <w:jc w:val="left"/>
      </w:pPr>
      <w:r>
        <w:rPr>
          <w:b/>
        </w:rPr>
        <w:t>Kanzlei:</w:t>
      </w:r>
      <w:r>
        <w:t xml:space="preserve"> Spethmann, Kaltenbach &amp; Partner Rechtsanwaltsgesellschaft mbB, Bonn</w:t>
      </w:r>
    </w:p>
    <w:p>
      <w:pPr>
        <w:jc w:val="left"/>
      </w:pPr>
      <w:r>
        <w:rPr>
          <w:b/>
        </w:rPr>
        <w:t>Datum:</w:t>
      </w:r>
      <w:r>
        <w:t xml:space="preserve"> 20. März 2026</w:t>
      </w:r>
    </w:p>
    <w:p/>
    <w:p>
      <w:pPr>
        <w:pStyle w:val="Heading2"/>
      </w:pPr>
      <w:r>
        <w:rPr>
          <w:rFonts w:ascii="Times New Roman" w:hAnsi="Times New Roman"/>
        </w:rPr>
        <w:t>1. Zusammenfassende Bewertung</w:t>
      </w:r>
    </w:p>
    <w:p>
      <w:pPr>
        <w:pStyle w:val="Heading3"/>
      </w:pPr>
      <w:r>
        <w:rPr>
          <w:rFonts w:ascii="Times New Roman" w:hAnsi="Times New Roman"/>
        </w:rPr>
        <w:t>1.1 Verfahren LG Bonn 16 O 211/26 (Doppelverkauf)</w:t>
      </w:r>
    </w:p>
    <w:p>
      <w:pPr>
        <w:jc w:val="left"/>
      </w:pPr>
      <w:r>
        <w:rPr>
          <w:b/>
        </w:rPr>
        <w:t>Anspruch Bagheri-Aichholz gegen Bischof-Hellberg: 600.000 EUR + Zinsen</w:t>
      </w:r>
    </w:p>
    <w:p>
      <w:pPr>
        <w:jc w:val="left"/>
      </w:pPr>
      <w:r>
        <w:t xml:space="preserve">Bewertung: </w:t>
      </w:r>
      <w:r>
        <w:rPr>
          <w:b/>
        </w:rPr>
        <w:t>Sehr hohe Erfolgsaussichten (85 %)</w:t>
      </w:r>
    </w:p>
    <w:p>
      <w:pPr>
        <w:jc w:val="left"/>
      </w:pPr>
      <w:r>
        <w:t>Begründung:</w:t>
      </w:r>
    </w:p>
    <w:p>
      <w:pPr>
        <w:pStyle w:val="ListBullet"/>
      </w:pPr>
      <w:r>
        <w:t>Leistungskondiktion (Paragraf 812 Abs. 1 S. 1 1. Alt. BGB) klar begründet</w:t>
      </w:r>
    </w:p>
    <w:p>
      <w:pPr>
        <w:pStyle w:val="ListBullet"/>
      </w:pPr>
      <w:r>
        <w:t>Alternativ: Rücktrittsfolgenanspruch (Paragraf 346 BGB)</w:t>
      </w:r>
    </w:p>
    <w:p>
      <w:pPr>
        <w:pStyle w:val="ListBullet"/>
      </w:pPr>
      <w:r>
        <w:t>Keine Einwände (Paragraf 814, 815, 817 BGB) ersichtlich</w:t>
      </w:r>
    </w:p>
    <w:p>
      <w:pPr>
        <w:pStyle w:val="ListBullet"/>
      </w:pPr>
      <w:r>
        <w:t>Bischof-Hellberg als Schuldner solvent</w:t>
      </w:r>
    </w:p>
    <w:p>
      <w:pPr>
        <w:pStyle w:val="ListBullet"/>
      </w:pPr>
      <w:r>
        <w:t>Verjährung: bis 31.12.2028 — Klage rechtzeitig</w:t>
      </w:r>
    </w:p>
    <w:p>
      <w:pPr>
        <w:jc w:val="left"/>
      </w:pPr>
      <w:r>
        <w:rPr>
          <w:b/>
        </w:rPr>
        <w:t>Empfehlung:</w:t>
      </w:r>
      <w:r>
        <w:t xml:space="preserve"> Klage auf Leistung (600.000 EUR + 5 % Zinsen über Basiszinssatz</w:t>
      </w:r>
    </w:p>
    <w:p>
      <w:pPr>
        <w:jc w:val="left"/>
      </w:pPr>
      <w:r>
        <w:t>ab 10.04.2025) — Vergleichsgespräche parallel anstreben.</w:t>
      </w:r>
    </w:p>
    <w:p>
      <w:pPr>
        <w:pStyle w:val="Heading3"/>
      </w:pPr>
      <w:r>
        <w:rPr>
          <w:rFonts w:ascii="Times New Roman" w:hAnsi="Times New Roman"/>
        </w:rPr>
        <w:t>1.2 Verfahren AG Hamburg 67 IN 88/26 (InsO-Anfechtung)</w:t>
      </w:r>
    </w:p>
    <w:p>
      <w:pPr>
        <w:jc w:val="left"/>
      </w:pPr>
      <w:r>
        <w:rPr>
          <w:b/>
        </w:rPr>
        <w:t>Anfechtungsanspruch Drosselberg gegen Bischof-Hellberg</w:t>
      </w:r>
    </w:p>
    <w:p>
      <w:pPr>
        <w:jc w:val="left"/>
      </w:pPr>
      <w:r>
        <w:t xml:space="preserve">Bewertung: </w:t>
      </w:r>
      <w:r>
        <w:rPr>
          <w:b/>
        </w:rPr>
        <w:t>Geringe Erfolgsaussichten (15 %)</w:t>
      </w:r>
    </w:p>
    <w:p>
      <w:pPr>
        <w:jc w:val="left"/>
      </w:pPr>
      <w:r>
        <w:t>Begründung:</w:t>
      </w:r>
    </w:p>
    <w:p>
      <w:pPr>
        <w:pStyle w:val="ListBullet"/>
      </w:pPr>
      <w:r>
        <w:t>Paragraf 130, 131 InsO: Zeitliche Voraussetzungen nicht erfüllt (&gt; 3 Monate)</w:t>
      </w:r>
    </w:p>
    <w:p>
      <w:pPr>
        <w:pStyle w:val="ListBullet"/>
      </w:pPr>
      <w:r>
        <w:t>Paragraf 133 InsO: Benachteiligungsvorsatz nicht nachweisbar</w:t>
      </w:r>
    </w:p>
    <w:p>
      <w:pPr>
        <w:pStyle w:val="ListBullet"/>
      </w:pPr>
      <w:r>
        <w:t>Keine Zahlungsunfähigkeit des Trappenfels im Zeitpunkt der Handlungen beweisbar</w:t>
      </w:r>
    </w:p>
    <w:p>
      <w:pPr>
        <w:pStyle w:val="ListBullet"/>
      </w:pPr>
      <w:r>
        <w:t>Bischof-Hellberg war gutgläubig</w:t>
      </w:r>
    </w:p>
    <w:p>
      <w:pPr>
        <w:jc w:val="left"/>
      </w:pPr>
      <w:r>
        <w:rPr>
          <w:b/>
        </w:rPr>
        <w:t>Empfehlung:</w:t>
      </w:r>
      <w:r>
        <w:t xml:space="preserve"> Klageabweisung beantragen; eventualiter Aufrechnung mit</w:t>
      </w:r>
    </w:p>
    <w:p>
      <w:pPr>
        <w:jc w:val="left"/>
      </w:pPr>
      <w:r>
        <w:t>Restkaufpreisforderung 750.000 EUR.</w:t>
      </w:r>
    </w:p>
    <w:p>
      <w:pPr>
        <w:pStyle w:val="Heading3"/>
      </w:pPr>
      <w:r>
        <w:rPr>
          <w:rFonts w:ascii="Times New Roman" w:hAnsi="Times New Roman"/>
        </w:rPr>
        <w:t>1.3 Verfahren LG Bonn 4 O 188/26 (AnfG gegen Helena Bischof-Renkert)</w:t>
      </w:r>
    </w:p>
    <w:p>
      <w:pPr>
        <w:jc w:val="left"/>
      </w:pPr>
      <w:r>
        <w:rPr>
          <w:b/>
        </w:rPr>
        <w:t>AnfG-Anfechtung Trappenfels-Erbenkonsortium gegen Helena Bischof-Renkert</w:t>
      </w:r>
    </w:p>
    <w:p>
      <w:pPr>
        <w:jc w:val="left"/>
      </w:pPr>
      <w:r>
        <w:t xml:space="preserve">Bewertung: </w:t>
      </w:r>
      <w:r>
        <w:rPr>
          <w:b/>
        </w:rPr>
        <w:t>Mittlere Erfolgsaussichten (45 %)</w:t>
      </w:r>
    </w:p>
    <w:p>
      <w:pPr>
        <w:jc w:val="left"/>
      </w:pPr>
      <w:r>
        <w:t>Begründung:</w:t>
      </w:r>
    </w:p>
    <w:p>
      <w:pPr>
        <w:pStyle w:val="ListBullet"/>
      </w:pPr>
      <w:r>
        <w:t>Paragraf 4 AnfG: Unentgeltlichkeit prima facie gegeben; Zeitfrist eingehalten</w:t>
      </w:r>
    </w:p>
    <w:p>
      <w:pPr>
        <w:pStyle w:val="ListBullet"/>
      </w:pPr>
      <w:r>
        <w:t>Aber: Fehlender Vollstreckungstitel als Klagehemmnis (Paragraf 2 AnfG)</w:t>
      </w:r>
    </w:p>
    <w:p>
      <w:pPr>
        <w:pStyle w:val="ListBullet"/>
      </w:pPr>
      <w:r>
        <w:t>Paragraf 3 AnfG: Benachteiligungsvorsatz 2024 fraglich (vor Entstehung der Streitigkeiten)</w:t>
      </w:r>
    </w:p>
    <w:p>
      <w:pPr>
        <w:pStyle w:val="ListBullet"/>
      </w:pPr>
      <w:r>
        <w:t>Helena Bischof-Renkert kann Betreuungsleistungen als Gegenleistung anführen</w:t>
      </w:r>
    </w:p>
    <w:p>
      <w:pPr>
        <w:jc w:val="left"/>
      </w:pPr>
      <w:r>
        <w:rPr>
          <w:b/>
        </w:rPr>
        <w:t>Empfehlung:</w:t>
      </w:r>
      <w:r>
        <w:t xml:space="preserve"> Fristwahrende Klage jetzt einreichen; Betreuungsleistungen</w:t>
      </w:r>
    </w:p>
    <w:p>
      <w:pPr>
        <w:jc w:val="left"/>
      </w:pPr>
      <w:r>
        <w:t>beweismäßig sichern; Sachverständigengutachten Fahrzeugwerte in Auftrag geben.</w:t>
      </w:r>
    </w:p>
    <w:p/>
    <w:p>
      <w:pPr>
        <w:pStyle w:val="Heading2"/>
      </w:pPr>
      <w:r>
        <w:rPr>
          <w:rFonts w:ascii="Times New Roman" w:hAnsi="Times New Roman"/>
        </w:rPr>
        <w:t>2. Dreiecksverhaeltnis Schmiedeknecht: Abschließende Bewertung</w:t>
      </w:r>
    </w:p>
    <w:p>
      <w:pPr>
        <w:jc w:val="left"/>
      </w:pPr>
      <w:r>
        <w:rPr>
          <w:b/>
        </w:rPr>
        <w:t>Anspruch Volksbank Bonn gegen Schmiedeknecht-KG (78.000 EUR):</w:t>
      </w:r>
    </w:p>
    <w:p>
      <w:pPr>
        <w:jc w:val="left"/>
      </w:pPr>
      <w:r>
        <w:t xml:space="preserve">Bewertung: </w:t>
      </w:r>
      <w:r>
        <w:rPr>
          <w:b/>
        </w:rPr>
        <w:t>Hohe Erfolgsaussichten (75 %)</w:t>
      </w:r>
    </w:p>
    <w:p>
      <w:pPr>
        <w:pStyle w:val="ListBullet"/>
      </w:pPr>
      <w:r>
        <w:t>Anweisung nichtig (Paragraf 119 BGB Anfechtung — formal wirksam)</w:t>
      </w:r>
    </w:p>
    <w:p>
      <w:pPr>
        <w:pStyle w:val="ListBullet"/>
      </w:pPr>
      <w:r>
        <w:t>BGH-Grundsätze: Volksbank kondiziert gegen Schmiedeknecht</w:t>
      </w:r>
    </w:p>
    <w:p>
      <w:pPr>
        <w:pStyle w:val="ListBullet"/>
      </w:pPr>
      <w:r>
        <w:t>Schmiedeknecht wird Wegfall der Bereicherung einwenden (Paragraf 818 Abs. 3 BGB)</w:t>
      </w:r>
    </w:p>
    <w:p>
      <w:pPr>
        <w:pStyle w:val="ListBullet"/>
      </w:pPr>
      <w:r>
        <w:t>Ergebnis hängt davon ab, ob Schmiedeknecht die Gelder für nicht rückgängig</w:t>
      </w:r>
    </w:p>
    <w:p>
      <w:pPr>
        <w:jc w:val="left"/>
      </w:pPr>
      <w:r>
        <w:t>machbare Ausgaben verwendet hat</w:t>
      </w:r>
    </w:p>
    <w:p>
      <w:pPr>
        <w:jc w:val="left"/>
      </w:pPr>
      <w:r>
        <w:rPr>
          <w:b/>
        </w:rPr>
        <w:t>Anspruch Bischof-Hellberg gegen Volksbank Bonn (Paragraf 675u BGB):</w:t>
      </w:r>
    </w:p>
    <w:p>
      <w:pPr>
        <w:jc w:val="left"/>
      </w:pPr>
      <w:r>
        <w:t xml:space="preserve">Bewertung: </w:t>
      </w:r>
      <w:r>
        <w:rPr>
          <w:b/>
        </w:rPr>
        <w:t>Hohe Erfolgsaussichten (80 %)</w:t>
      </w:r>
    </w:p>
    <w:p>
      <w:pPr>
        <w:pStyle w:val="ListBullet"/>
      </w:pPr>
      <w:r>
        <w:t>Volksbank hat unberechtigt Konto belastet (nach Nichtigkeit der Anweisung)</w:t>
      </w:r>
    </w:p>
    <w:p>
      <w:pPr>
        <w:pStyle w:val="ListBullet"/>
      </w:pPr>
      <w:r>
        <w:t>Gutschrift i.H.v. 78.000 EUR geschuldet</w:t>
      </w:r>
    </w:p>
    <w:p/>
    <w:p>
      <w:pPr>
        <w:pStyle w:val="Heading2"/>
      </w:pPr>
      <w:r>
        <w:rPr>
          <w:rFonts w:ascii="Times New Roman" w:hAnsi="Times New Roman"/>
        </w:rPr>
        <w:t>3. Prioritätenliste der Handlungsempfehlungen</w:t>
      </w:r>
    </w:p>
    <w:p>
      <w:pPr>
        <w:pStyle w:val="ListNumber"/>
      </w:pPr>
      <w:r>
        <w:rPr>
          <w:b/>
        </w:rPr>
        <w:t>Sofort:</w:t>
      </w:r>
      <w:r>
        <w:t xml:space="preserve"> Einvernehmliche Lösung mit Bagheri-Aichholz anstreben</w:t>
      </w:r>
    </w:p>
    <w:p>
      <w:pPr>
        <w:jc w:val="left"/>
      </w:pPr>
      <w:r>
        <w:t>(Rückzahlung 600.000 EUR gegen Verzicht auf Schadensersatz)</w:t>
      </w:r>
    </w:p>
    <w:p>
      <w:pPr>
        <w:pStyle w:val="ListNumber"/>
      </w:pPr>
      <w:r>
        <w:rPr>
          <w:b/>
        </w:rPr>
        <w:t>Binnen 4 Wochen:</w:t>
      </w:r>
      <w:r>
        <w:t xml:space="preserve"> Erwiderung auf InsO-Anfechtungsklage (Abweisung)</w:t>
      </w:r>
    </w:p>
    <w:p>
      <w:pPr>
        <w:pStyle w:val="ListNumber"/>
      </w:pPr>
      <w:r>
        <w:rPr>
          <w:b/>
        </w:rPr>
        <w:t>Binnen 8 Wochen:</w:t>
      </w:r>
      <w:r>
        <w:t xml:space="preserve"> Gutachten Fahrzeugwerte Januar 2024 (6 Sportwagen)</w:t>
      </w:r>
    </w:p>
    <w:p>
      <w:pPr>
        <w:pStyle w:val="ListNumber"/>
      </w:pPr>
      <w:r>
        <w:rPr>
          <w:b/>
        </w:rPr>
        <w:t>Laufend:</w:t>
      </w:r>
      <w:r>
        <w:t xml:space="preserve"> Dokumentation aller Betreuungsleistungen Helena Bischof-Renkert</w:t>
      </w:r>
    </w:p>
    <w:p>
      <w:pPr>
        <w:pStyle w:val="ListNumber"/>
      </w:pPr>
      <w:r>
        <w:rPr>
          <w:b/>
        </w:rPr>
        <w:t>Regressprüfung:</w:t>
      </w:r>
      <w:r>
        <w:t xml:space="preserve"> Volksbank Bonn wegen unberechtigter Kontobelastung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Paragraf 812 BGB: https://dejure.org/gesetze/BGB/812.html</w:t>
      </w:r>
    </w:p>
    <w:p>
      <w:pPr>
        <w:pStyle w:val="ListBullet"/>
      </w:pPr>
      <w:r>
        <w:t>Paragraf 3, 4 AnfG: https://dejure.org/gesetze/AnfG/3.html</w:t>
      </w:r>
    </w:p>
    <w:p>
      <w:pPr>
        <w:pStyle w:val="ListBullet"/>
      </w:pPr>
      <w:r>
        <w:t>Paragraf 133 InsO: https://dejure.org/gesetze/InsO/133.html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Kaltenbach &amp; Partner Rechtsanwaltsgesellschaft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2"/>
      </w:rPr>
      <w:t>KALTENBACH &amp; PARTNER RECHTSANWALTSGESELLSCHAFT MBB</w:t>
    </w:r>
  </w:p>
  <w:p>
    <w:pPr>
      <w:jc w:val="left"/>
      <w:pBdr>
        <w:bottom w:val="single" w:sz="8" w:space="2" w:color="11555F"/>
      </w:pBdr>
    </w:pPr>
    <w:r>
      <w:rPr>
        <w:rFonts w:ascii="Times New Roman" w:hAnsi="Times New Roman"/>
        <w:color w:val="6B6B66"/>
        <w:sz w:val="16"/>
      </w:rPr>
      <w:t>Bonn · Aktenzeichen: LG Bonn 16 O 211/26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