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Erstvermerk an das Betreuungsgericht</w:t>
      </w:r>
    </w:p>
    <w:p>
      <w:pPr>
        <w:pStyle w:val="Heading2"/>
      </w:pPr>
      <w:r>
        <w:rPr>
          <w:rFonts w:ascii="Times New Roman" w:hAnsi="Times New Roman"/>
        </w:rPr>
        <w:t>Betreff</w:t>
      </w:r>
    </w:p>
    <w:p>
      <w:pPr>
        <w:jc w:val="left"/>
      </w:pPr>
      <w:r>
        <w:t>Herbert Wilhelm Schmalfeld, geb. 14.03.1941, Vermögenssorge:</w:t>
      </w:r>
    </w:p>
    <w:p>
      <w:pPr>
        <w:jc w:val="left"/>
      </w:pPr>
      <w:r>
        <w:t>erste Konto- und Vertragsdurchsicht 2023 bis 2025.</w:t>
      </w:r>
    </w:p>
    <w:p>
      <w:pPr>
        <w:pStyle w:val="Heading2"/>
      </w:pPr>
      <w:r>
        <w:rPr>
          <w:rFonts w:ascii="Times New Roman" w:hAnsi="Times New Roman"/>
        </w:rPr>
        <w:t>Kurzbefund</w:t>
      </w:r>
    </w:p>
    <w:p>
      <w:pPr>
        <w:jc w:val="left"/>
      </w:pPr>
      <w:r>
        <w:t>Bei der ersten Durchsicht der Kontoauszüge und Vertragsunterlagen zeigen sich</w:t>
      </w:r>
    </w:p>
    <w:p>
      <w:pPr>
        <w:jc w:val="left"/>
      </w:pPr>
      <w:r>
        <w:t>wiederholte atypische Vermögensabflüsse. Besonders auffällig sind Zahlungen an</w:t>
      </w:r>
    </w:p>
    <w:p>
      <w:pPr>
        <w:jc w:val="left"/>
      </w:pPr>
      <w:r>
        <w:t>einen angeblichen "Europol Sicherheitsdienst", mehrere Auslandsüberweisungen</w:t>
      </w:r>
    </w:p>
    <w:p>
      <w:pPr>
        <w:jc w:val="left"/>
      </w:pPr>
      <w:r>
        <w:t>an eine Schweizer Vermögensverwaltung, eine spanische</w:t>
      </w:r>
    </w:p>
    <w:p>
      <w:pPr>
        <w:jc w:val="left"/>
      </w:pPr>
      <w:r>
        <w:t>Immobilienreservierung, eine Kommanditbeteiligung mit langer Bindung,</w:t>
      </w:r>
    </w:p>
    <w:p>
      <w:pPr>
        <w:jc w:val="left"/>
      </w:pPr>
      <w:r>
        <w:t>Fernwartungs- und Sicherheitssoftwareverträge sowie hochpreisige</w:t>
      </w:r>
    </w:p>
    <w:p>
      <w:pPr>
        <w:jc w:val="left"/>
      </w:pPr>
      <w:r>
        <w:t>Seniorenprodukte und Anlagekäufe.</w:t>
      </w:r>
    </w:p>
    <w:p>
      <w:pPr>
        <w:jc w:val="left"/>
      </w:pPr>
      <w:r>
        <w:t>Die private Hilfe durch Svetlana Petrova wird nicht als Missbrauch unterstellt,</w:t>
      </w:r>
    </w:p>
    <w:p>
      <w:pPr>
        <w:jc w:val="left"/>
      </w:pPr>
      <w:r>
        <w:t>bedarf aber eines Vertrags- und Leistungsnachweises. Die vorhandenen</w:t>
      </w:r>
    </w:p>
    <w:p>
      <w:pPr>
        <w:jc w:val="left"/>
      </w:pPr>
      <w:r>
        <w:t>Jahresabschlussdaten der Kontoauszüge müssen wegen rechnerischer</w:t>
      </w:r>
    </w:p>
    <w:p>
      <w:pPr>
        <w:jc w:val="left"/>
      </w:pPr>
      <w:r>
        <w:t>Unstimmigkeiten mit der Bank abgeglichen werden.</w:t>
      </w:r>
    </w:p>
    <w:p>
      <w:pPr>
        <w:pStyle w:val="Heading2"/>
      </w:pPr>
      <w:r>
        <w:rPr>
          <w:rFonts w:ascii="Times New Roman" w:hAnsi="Times New Roman"/>
        </w:rPr>
        <w:t>Erste Schutzmaßnahmen</w:t>
      </w:r>
    </w:p>
    <w:p>
      <w:pPr>
        <w:pStyle w:val="ListNumber"/>
      </w:pPr>
      <w:r>
        <w:t>Originalkontoauszüge und Vertragsunterlagen wurden gesichert.</w:t>
      </w:r>
    </w:p>
    <w:p>
      <w:pPr>
        <w:pStyle w:val="ListNumber"/>
      </w:pPr>
      <w:r>
        <w:t>Eine Liste auffälliger Zahlungsempfänger wird erstellt.</w:t>
      </w:r>
    </w:p>
    <w:p>
      <w:pPr>
        <w:pStyle w:val="ListNumber"/>
      </w:pPr>
      <w:r>
        <w:t>SEPA-Mandate, Dauerverträge und Kündigungsfristen werden geprüft.</w:t>
      </w:r>
    </w:p>
    <w:p>
      <w:pPr>
        <w:pStyle w:val="ListNumber"/>
      </w:pPr>
      <w:r>
        <w:t>Fernwartungszugänge und Onlinebanking-Sicherheit sollen unabhängig geprüft</w:t>
      </w:r>
    </w:p>
    <w:p>
      <w:pPr>
        <w:jc w:val="left"/>
      </w:pPr>
      <w:r>
        <w:t>werden.</w:t>
      </w:r>
    </w:p>
    <w:p>
      <w:pPr>
        <w:pStyle w:val="ListNumber"/>
      </w:pPr>
      <w:r>
        <w:t>Auslandszahlungen und Hochrisikoanlagen werden bis zur Klärung nicht als</w:t>
      </w:r>
    </w:p>
    <w:p>
      <w:pPr>
        <w:jc w:val="left"/>
      </w:pPr>
      <w:r>
        <w:t>ordnungsgemäße Vermögensanlage behandelt.</w:t>
      </w:r>
    </w:p>
    <w:p>
      <w:pPr>
        <w:pStyle w:val="Heading2"/>
      </w:pPr>
      <w:r>
        <w:rPr>
          <w:rFonts w:ascii="Times New Roman" w:hAnsi="Times New Roman"/>
        </w:rPr>
        <w:t>Gerichtliche Prüfpunkte</w:t>
      </w:r>
    </w:p>
    <w:p>
      <w:pPr>
        <w:pStyle w:val="ListBullet"/>
      </w:pPr>
      <w:r>
        <w:t>Besteht angesichts der wiederholten atypischen Abflüsse Anlass, einen</w:t>
      </w:r>
    </w:p>
    <w:p>
      <w:pPr>
        <w:jc w:val="left"/>
      </w:pPr>
      <w:r>
        <w:t>Einwilligungsvorbehalt nach § 1825 BGB zu prüfen?</w:t>
      </w:r>
    </w:p>
    <w:p>
      <w:pPr>
        <w:pStyle w:val="ListBullet"/>
      </w:pPr>
      <w:r>
        <w:t>Sind einzelne Rechtsgeschäfte genehmigungsbedürftig oder jedenfalls</w:t>
      </w:r>
    </w:p>
    <w:p>
      <w:pPr>
        <w:jc w:val="left"/>
      </w:pPr>
      <w:r>
        <w:t>berichtspflichtig im Rahmen der Vermögenssorge?</w:t>
      </w:r>
    </w:p>
    <w:p>
      <w:pPr>
        <w:pStyle w:val="ListBullet"/>
      </w:pPr>
      <w:r>
        <w:t>Soll das Gericht Hinweise zum weiteren Umgang mit Auslandsanlagen,</w:t>
      </w:r>
    </w:p>
    <w:p>
      <w:pPr>
        <w:jc w:val="left"/>
      </w:pPr>
      <w:r>
        <w:t>Immobilienreservierung und technischer Kontosicherung geben?</w:t>
      </w:r>
    </w:p>
    <w:p>
      <w:pPr>
        <w:pStyle w:val="Heading2"/>
      </w:pPr>
      <w:r>
        <w:rPr>
          <w:rFonts w:ascii="Times New Roman" w:hAnsi="Times New Roman"/>
        </w:rPr>
        <w:t>Beweislücken</w:t>
      </w:r>
    </w:p>
    <w:p>
      <w:pPr>
        <w:pStyle w:val="ListBullet"/>
      </w:pPr>
      <w:r>
        <w:t>vollständige Bankauskunft zu Salden und Rückholmöglichkeiten,</w:t>
      </w:r>
    </w:p>
    <w:p>
      <w:pPr>
        <w:pStyle w:val="ListBullet"/>
      </w:pPr>
      <w:r>
        <w:t>Vertragskopien mit Widerrufsbelehrungen,</w:t>
      </w:r>
    </w:p>
    <w:p>
      <w:pPr>
        <w:pStyle w:val="ListBullet"/>
      </w:pPr>
      <w:r>
        <w:t>Telefonnotizen oder Kommunikationsverlauf zu den Sicherheitskautionen,</w:t>
      </w:r>
    </w:p>
    <w:p>
      <w:pPr>
        <w:pStyle w:val="ListBullet"/>
      </w:pPr>
      <w:r>
        <w:t>IT-Prüfbericht zu Fernwartungssoftware,</w:t>
      </w:r>
    </w:p>
    <w:p>
      <w:pPr>
        <w:pStyle w:val="ListBullet"/>
      </w:pPr>
      <w:r>
        <w:t>Leistungsnachweise private Pflege-/Haushaltshilfe,</w:t>
      </w:r>
    </w:p>
    <w:p>
      <w:pPr>
        <w:pStyle w:val="ListBullet"/>
      </w:pPr>
      <w:r>
        <w:t>Liefer- und Verwahrnachweise für Gold und Diamant.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Erstvermerk an das Betreuungsgericht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3B3F45"/>
        <w:sz w:val="24"/>
      </w:rPr>
      <w:t>Erstvermerk an das Betreuungsgericht</w:t>
    </w:r>
  </w:p>
  <w:p>
    <w:pPr>
      <w:jc w:val="left"/>
      <w:pBdr>
        <w:bottom w:val="single" w:sz="6" w:space="2" w:color="3B3F45"/>
      </w:pBdr>
    </w:pPr>
    <w:r>
      <w:rPr>
        <w:rFonts w:ascii="Times New Roman" w:hAnsi="Times New Roman"/>
        <w:color w:val="6B6B66"/>
        <w:sz w:val="16"/>
      </w:rPr>
      <w:t>Gericht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