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Prüfungsanordnung Finanzamt Augsburg-Stadt</w:t>
      </w:r>
    </w:p>
    <w:p>
      <w:pPr>
        <w:jc w:val="left"/>
      </w:pPr>
      <w:r>
        <w:rPr>
          <w:b/>
        </w:rPr>
        <w:t>Dokument:</w:t>
      </w:r>
      <w:r>
        <w:t xml:space="preserve"> Prüfungsanordnung gem. § 196 AO</w:t>
      </w:r>
    </w:p>
    <w:p>
      <w:pPr>
        <w:jc w:val="left"/>
      </w:pPr>
      <w:r>
        <w:rPr>
          <w:b/>
        </w:rPr>
        <w:t>Behörde:</w:t>
      </w:r>
      <w:r>
        <w:t xml:space="preserve"> Finanzamt Augsburg-Stadt, Betriebsprüfungsstelle</w:t>
      </w:r>
    </w:p>
    <w:p>
      <w:pPr>
        <w:jc w:val="left"/>
      </w:pPr>
      <w:r>
        <w:rPr>
          <w:b/>
        </w:rPr>
        <w:t>Sachgebiet:</w:t>
      </w:r>
      <w:r>
        <w:t xml:space="preserve"> BP 3 — Mittelgroße Betriebe</w:t>
      </w:r>
    </w:p>
    <w:p>
      <w:pPr>
        <w:jc w:val="left"/>
      </w:pPr>
      <w:r>
        <w:rPr>
          <w:b/>
        </w:rPr>
        <w:t>Sachbearbeiter:</w:t>
      </w:r>
      <w:r>
        <w:t xml:space="preserve"> Betriebsprüfer Dipl.-Finanzwirt Horst Kelterbaum</w:t>
      </w:r>
    </w:p>
    <w:p>
      <w:pPr>
        <w:jc w:val="left"/>
      </w:pPr>
      <w:r>
        <w:rPr>
          <w:b/>
        </w:rPr>
        <w:t>Datum:</w:t>
      </w:r>
      <w:r>
        <w:t xml:space="preserve"> 27.01.2026</w:t>
      </w:r>
    </w:p>
    <w:p>
      <w:pPr>
        <w:jc w:val="left"/>
      </w:pPr>
      <w:r>
        <w:rPr>
          <w:b/>
        </w:rPr>
        <w:t>Eingegangen bei Mandant:</w:t>
      </w:r>
      <w:r>
        <w:t xml:space="preserve"> 30.01.2026</w:t>
      </w:r>
    </w:p>
    <w:p>
      <w:pPr>
        <w:jc w:val="left"/>
      </w:pPr>
      <w:r>
        <w:rPr>
          <w:b/>
        </w:rPr>
        <w:t>Weitergeleitet an Kanzlei:</w:t>
      </w:r>
      <w:r>
        <w:t xml:space="preserve"> 04.02.2026</w:t>
      </w:r>
    </w:p>
    <w:p/>
    <w:p>
      <w:pPr>
        <w:pStyle w:val="Heading2"/>
      </w:pPr>
      <w:r>
        <w:rPr>
          <w:rFonts w:ascii="Times New Roman" w:hAnsi="Times New Roman"/>
        </w:rPr>
        <w:t>Inhalt der Prüfungsanordnung</w:t>
      </w:r>
    </w:p>
    <w:p>
      <w:pPr>
        <w:jc w:val="left"/>
      </w:pPr>
      <w:r>
        <w:t xml:space="preserve">Das Finanzamt Augsburg-Stadt ordnet auf der Grundlage von </w:t>
      </w:r>
      <w:r>
        <w:rPr>
          <w:b/>
        </w:rPr>
        <w:t>§ 196 AO</w:t>
      </w:r>
      <w:r>
        <w:t xml:space="preserve"> eine Außenprüfung an. Geprüft werden:</w:t>
      </w:r>
    </w:p>
    <w:p>
      <w:pPr>
        <w:jc w:val="left"/>
      </w:pPr>
      <w:r>
        <w:rPr>
          <w:b/>
        </w:rPr>
        <w:t>Steuerpflichtige:</w:t>
      </w:r>
      <w:r>
        <w:t xml:space="preserve"> Marquardt Handelsvertretung Maschinenbau GmbH &amp; Co. KG, Augsburg</w:t>
      </w:r>
    </w:p>
    <w:p>
      <w:pPr>
        <w:jc w:val="left"/>
      </w:pPr>
      <w:r>
        <w:rPr>
          <w:b/>
        </w:rPr>
        <w:t>Steuernummer:</w:t>
      </w:r>
      <w:r>
        <w:t xml:space="preserve"> 142/9999/1234</w:t>
      </w:r>
    </w:p>
    <w:p>
      <w:pPr>
        <w:jc w:val="left"/>
      </w:pPr>
      <w:r>
        <w:rPr>
          <w:b/>
        </w:rPr>
        <w:t>Prüfungszeitraum:</w:t>
      </w:r>
      <w:r>
        <w:t xml:space="preserve"> Veranlagungszeiträume </w:t>
      </w:r>
      <w:r>
        <w:rPr>
          <w:b/>
        </w:rPr>
        <w:t>2020, 2021, 2022, 2023 und 2024</w:t>
      </w:r>
    </w:p>
    <w:p>
      <w:pPr>
        <w:jc w:val="left"/>
      </w:pPr>
      <w:r>
        <w:rPr>
          <w:b/>
        </w:rPr>
        <w:t>Steuerarten:</w:t>
      </w:r>
    </w:p>
    <w:p>
      <w:pPr>
        <w:pStyle w:val="ListBullet"/>
      </w:pPr>
      <w:r>
        <w:t>Körperschaftsteuer (betreffend Komplementär-GmbH)</w:t>
      </w:r>
    </w:p>
    <w:p>
      <w:pPr>
        <w:pStyle w:val="ListBullet"/>
      </w:pPr>
      <w:r>
        <w:t>Gewerbesteuer</w:t>
      </w:r>
    </w:p>
    <w:p>
      <w:pPr>
        <w:pStyle w:val="ListBullet"/>
      </w:pPr>
      <w:r>
        <w:t>Umsatzsteuer</w:t>
      </w:r>
    </w:p>
    <w:p>
      <w:pPr>
        <w:pStyle w:val="ListBullet"/>
      </w:pPr>
      <w:r>
        <w:t>Feststellungsverfahren (§ 180 AO) — einheitliche und gesonderte Gewinnfeststellung</w:t>
      </w:r>
    </w:p>
    <w:p>
      <w:pPr>
        <w:jc w:val="left"/>
      </w:pPr>
      <w:r>
        <w:t xml:space="preserve">Zusätzlich wird eine verbundene Prüfung der persönlichen </w:t>
      </w:r>
      <w:r>
        <w:rPr>
          <w:b/>
        </w:rPr>
        <w:t>Einkommensteuer</w:t>
      </w:r>
      <w:r>
        <w:t xml:space="preserve"> des Gesellschafter-Geschäftsführers Reinhard Marquardt-Eichenmüller (StNr. 142/8888/5678) für 2020–2024 angeordnet.</w:t>
      </w:r>
    </w:p>
    <w:p>
      <w:pPr>
        <w:jc w:val="left"/>
      </w:pPr>
      <w:r>
        <w:rPr>
          <w:b/>
        </w:rPr>
        <w:t>Beginn der Prüfung:</w:t>
      </w:r>
      <w:r>
        <w:t xml:space="preserve"> 02.03.2026, 09:00 Uhr, Betriebsräume der KG, Dieselstraße 14, 86167 Augsburg.</w:t>
      </w:r>
    </w:p>
    <w:p/>
    <w:p>
      <w:pPr>
        <w:pStyle w:val="Heading2"/>
      </w:pPr>
      <w:r>
        <w:rPr>
          <w:rFonts w:ascii="Times New Roman" w:hAnsi="Times New Roman"/>
        </w:rPr>
        <w:t>Rechtliche Grundlagen</w:t>
      </w:r>
    </w:p>
    <w:p>
      <w:pPr>
        <w:jc w:val="left"/>
      </w:pPr>
      <w:r>
        <w:t>Die Prüfungsanordnung stützt sich auf:</w:t>
      </w:r>
    </w:p>
    <w:p>
      <w:pPr>
        <w:pStyle w:val="ListBullet"/>
      </w:pPr>
      <w:r>
        <w:t>§ 196 AO (Prüfungsanordnung)</w:t>
      </w:r>
    </w:p>
    <w:p>
      <w:pPr>
        <w:pStyle w:val="ListBullet"/>
      </w:pPr>
      <w:r>
        <w:t>§ 193 Abs. 1 AO (Außenprüfung bei Betrieben)</w:t>
      </w:r>
    </w:p>
    <w:p>
      <w:pPr>
        <w:pStyle w:val="ListBullet"/>
      </w:pPr>
      <w:r>
        <w:t>§ 5 BpO (Betriebsprüfungsordnung) — Prüfungsplan</w:t>
      </w:r>
    </w:p>
    <w:p>
      <w:pPr>
        <w:jc w:val="left"/>
      </w:pPr>
      <w:r>
        <w:t>Eine Rechtsbehelfsbelehrung ist beigefügt. Die Prüfungsanordnung ist ein Verwaltungsakt; Einspruch nach § 347 AO ist zulässig, hat jedoch keine aufschiebende Wirkung (§ 361 Abs. 1 AO).</w:t>
      </w:r>
    </w:p>
    <w:p/>
    <w:p>
      <w:pPr>
        <w:pStyle w:val="Heading2"/>
      </w:pPr>
      <w:r>
        <w:rPr>
          <w:rFonts w:ascii="Times New Roman" w:hAnsi="Times New Roman"/>
        </w:rPr>
        <w:t>Angeforderte Unterlagen (Anlage zur Prüfungsanordnung)</w:t>
      </w:r>
    </w:p>
    <w:p>
      <w:pPr>
        <w:jc w:val="left"/>
      </w:pPr>
      <w:r>
        <w:t>Der Prüfer fordert vorab an:</w:t>
      </w:r>
    </w:p>
    <w:p>
      <w:pPr>
        <w:pStyle w:val="ListNumber"/>
      </w:pPr>
      <w:r>
        <w:t>Jahresabschlüsse 2020–2024 mit Anlagen</w:t>
      </w:r>
    </w:p>
    <w:p>
      <w:pPr>
        <w:pStyle w:val="ListNumber"/>
      </w:pPr>
      <w:r>
        <w:t>Gewinn- und Verlustrechnungen nach Kostenstellen</w:t>
      </w:r>
    </w:p>
    <w:p>
      <w:pPr>
        <w:pStyle w:val="ListNumber"/>
      </w:pPr>
      <w:r>
        <w:t>Buchungsjournale (DATEV-Export oder CSV)</w:t>
      </w:r>
    </w:p>
    <w:p>
      <w:pPr>
        <w:pStyle w:val="ListNumber"/>
      </w:pPr>
      <w:r>
        <w:t>Anlagenverzeichnis und Kfz-Unterlagen</w:t>
      </w:r>
    </w:p>
    <w:p>
      <w:pPr>
        <w:pStyle w:val="ListNumber"/>
      </w:pPr>
      <w:r>
        <w:t>Mietverträge für betriebliche Immobilien</w:t>
      </w:r>
    </w:p>
    <w:p>
      <w:pPr>
        <w:pStyle w:val="ListNumber"/>
      </w:pPr>
      <w:r>
        <w:t>Verträge mit nahestehenden Personen (§ 1 Abs. 2 AStG)</w:t>
      </w:r>
    </w:p>
    <w:p>
      <w:pPr>
        <w:pStyle w:val="ListNumber"/>
      </w:pPr>
      <w:r>
        <w:t>Verrechnungspreisdokumentation Luxemburg</w:t>
      </w:r>
    </w:p>
    <w:p/>
    <w:p>
      <w:pPr>
        <w:pStyle w:val="Heading2"/>
      </w:pPr>
      <w:r>
        <w:rPr>
          <w:rFonts w:ascii="Times New Roman" w:hAnsi="Times New Roman"/>
        </w:rPr>
        <w:t>Kanzleistrategie zur Prüfungsanordnung</w:t>
      </w:r>
    </w:p>
    <w:p>
      <w:pPr>
        <w:pStyle w:val="ListBullet"/>
      </w:pPr>
      <w:r>
        <w:t>Fristverlängerung für Unterlagenvorlage beantragen (§ 197 Abs. 2 AO) — Prüfungsbeginn auf 16.03.2026 verschieben.</w:t>
      </w:r>
    </w:p>
    <w:p>
      <w:pPr>
        <w:pStyle w:val="ListBullet"/>
      </w:pPr>
      <w:r>
        <w:t>Prüfungsanordnung nicht anfechten (keine aufschiebende Wirkung, politisch kontraproduktiv).</w:t>
      </w:r>
    </w:p>
    <w:p>
      <w:pPr>
        <w:pStyle w:val="ListBullet"/>
      </w:pPr>
      <w:r>
        <w:t>Vorabbesprechung mit Prüfer Kelterbaum anberaumen: Verfahrensabsprachen zu Prüfungsdauer und Akteneinsicht.</w:t>
      </w:r>
    </w:p>
    <w:p>
      <w:pPr>
        <w:pStyle w:val="ListBullet"/>
      </w:pPr>
      <w:r>
        <w:t>Interne Unterlagensichtung priorisieren: Luxemburg-Unterlagen zuerst (höchstes Risiko).</w:t>
      </w:r>
    </w:p>
    <w:p/>
    <w:p>
      <w:pPr>
        <w:pStyle w:val="Heading2"/>
      </w:pPr>
      <w:r>
        <w:rPr>
          <w:rFonts w:ascii="Times New Roman" w:hAnsi="Times New Roman"/>
        </w:rPr>
        <w:t>Kommentar Dr. Vellbruck-Steinheim</w:t>
      </w:r>
    </w:p>
    <w:p>
      <w:pPr>
        <w:ind w:left="567"/>
      </w:pPr>
      <w:r>
        <w:rPr>
          <w:i/>
        </w:rPr>
        <w:t>Die gleichzeitige Prüfung von GmbH &amp; Co. KG und GF-Einkommensteuer ist Standard, erhöht aber den Abstimmungsaufwand erheblich. Die Tatsache, dass alle fünf Jahre gleichzeitig geprüft werden, deutet auf einen strukturierten Anlassprüfung hin — möglicherweise aufgrund einer Kontrollmitteilung aus Luxemburg oder Portugal. Das Luxemburg-Thema muss vor Prüfungsbeginn vollständig durchgecheckt sein.</w:t>
      </w:r>
    </w:p>
    <w:p>
      <w:pPr>
        <w:jc w:val="left"/>
      </w:pPr>
      <w:r>
        <w:rPr>
          <w:b/>
        </w:rPr>
        <w:t>Quelle:</w:t>
      </w:r>
      <w:r>
        <w:t xml:space="preserve"> § 196 AO — https://dejure.org/gesetze/AO/196.html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Behörde: Finanzamt Augsburg-Stadt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Behörde: Finanzamt Augsburg-Stadt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Betriebsprüfungsstelle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