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11 — Protokoll Schlussbesprechung (§ 201 AO), 18.06.2026</w:t>
      </w:r>
    </w:p>
    <w:p>
      <w:pPr>
        <w:jc w:val="left"/>
      </w:pPr>
      <w:r>
        <w:rPr>
          <w:b/>
        </w:rPr>
        <w:t>Termin:</w:t>
      </w:r>
      <w:r>
        <w:t xml:space="preserve"> 18.06.2026, 10:00–16:30 Uhr</w:t>
      </w:r>
    </w:p>
    <w:p>
      <w:pPr>
        <w:jc w:val="left"/>
      </w:pPr>
      <w:r>
        <w:rPr>
          <w:b/>
        </w:rPr>
        <w:t>Ort:</w:t>
      </w:r>
      <w:r>
        <w:t xml:space="preserve"> Finanzamt Augsburg-Stadt, Schleißheimer Str. 132, 86150 Augsburg</w:t>
      </w:r>
    </w:p>
    <w:p>
      <w:pPr>
        <w:jc w:val="left"/>
      </w:pPr>
      <w:r>
        <w:rPr>
          <w:b/>
        </w:rPr>
        <w:t>Prüfer FA:</w:t>
      </w:r>
      <w:r>
        <w:t xml:space="preserve"> BPr Dipl.-Finanzwirt Horst Kelterbaum, BPr'in Dr. Monika Brendl (USt)</w:t>
      </w:r>
    </w:p>
    <w:p>
      <w:pPr>
        <w:jc w:val="left"/>
      </w:pPr>
      <w:r>
        <w:rPr>
          <w:b/>
        </w:rPr>
        <w:t>Kanzlei:</w:t>
      </w:r>
      <w:r>
        <w:t xml:space="preserve"> Dr. Cornelia Vellbruck-Steinheim, StB Falk Roosendaal</w:t>
      </w:r>
    </w:p>
    <w:p>
      <w:pPr>
        <w:jc w:val="left"/>
      </w:pPr>
      <w:r>
        <w:rPr>
          <w:b/>
        </w:rPr>
        <w:t>Mandant:</w:t>
      </w:r>
      <w:r>
        <w:t xml:space="preserve"> Reinhard Marquardt-Eichenmüller</w:t>
      </w:r>
    </w:p>
    <w:p>
      <w:pPr>
        <w:jc w:val="left"/>
      </w:pPr>
      <w:r>
        <w:rPr>
          <w:b/>
        </w:rPr>
        <w:t>Protokollant:</w:t>
      </w:r>
      <w:r>
        <w:t xml:space="preserve"> StB Roosendaal</w:t>
      </w:r>
    </w:p>
    <w:p/>
    <w:p>
      <w:pPr>
        <w:pStyle w:val="Heading2"/>
      </w:pPr>
      <w:r>
        <w:rPr>
          <w:rFonts w:ascii="Times New Roman" w:hAnsi="Times New Roman"/>
        </w:rPr>
        <w:t>TOP 1: Eröffnung und Verfahrensrahmen</w:t>
      </w:r>
    </w:p>
    <w:p>
      <w:pPr>
        <w:jc w:val="left"/>
      </w:pPr>
      <w:r>
        <w:t>Kelterbaum eröffnet die Besprechung um 10:05 Uhr. Er weist darauf hin, dass die Schlussbesprechung nach § 201 AO dem Mandanten die Möglichkeit gibt, zum Ergebnis der Prüfung Stellung zu nehmen, bevor der Prüfungsbericht fertiggestellt wird.</w:t>
      </w:r>
    </w:p>
    <w:p/>
    <w:p>
      <w:pPr>
        <w:pStyle w:val="Heading2"/>
      </w:pPr>
      <w:r>
        <w:rPr>
          <w:rFonts w:ascii="Times New Roman" w:hAnsi="Times New Roman"/>
        </w:rPr>
        <w:t>TOP 2: Feststellung BP-1 (Pkw-Pool)</w:t>
      </w:r>
    </w:p>
    <w:p>
      <w:pPr>
        <w:jc w:val="left"/>
      </w:pPr>
      <w:r>
        <w:t xml:space="preserve">Ergebnis nach Erörterung: </w:t>
      </w:r>
      <w:r>
        <w:rPr>
          <w:b/>
        </w:rPr>
        <w:t>Einigung</w:t>
      </w:r>
      <w:r>
        <w:t>. Ansatz 1%-Regelung nur für BMW X5 M50i (GF-Fahrzeug). Porsche Cayenne: Privatanteil 30% (statt 100%) angesetzt. Touareg, A6, Vito: keine Feststellung.</w:t>
      </w:r>
    </w:p>
    <w:p>
      <w:pPr>
        <w:jc w:val="left"/>
      </w:pPr>
      <w:r>
        <w:t>Mehrsteuer vereinbart: EUR 32.400 KSt/ESt über 5 Jahre.</w:t>
      </w:r>
    </w:p>
    <w:p/>
    <w:p>
      <w:pPr>
        <w:pStyle w:val="Heading2"/>
      </w:pPr>
      <w:r>
        <w:rPr>
          <w:rFonts w:ascii="Times New Roman" w:hAnsi="Times New Roman"/>
        </w:rPr>
        <w:t>TOP 3: Feststellung BP-2 (Firmenwohnung Mallorca)</w:t>
      </w:r>
    </w:p>
    <w:p>
      <w:pPr>
        <w:jc w:val="left"/>
      </w:pPr>
      <w:r>
        <w:t xml:space="preserve">Ergebnis: </w:t>
      </w:r>
      <w:r>
        <w:rPr>
          <w:b/>
        </w:rPr>
        <w:t>Teileinigung</w:t>
      </w:r>
      <w:r>
        <w:t>. Mietwert angepasst auf EUR 1.500/Woche (Kanzlei: EUR 1.350, FA: EUR 1.700 — Kompromiss EUR 1.500). Nutzungswochen unverändert. vGA gesamt EUR 57.600 über 5 Jahre.</w:t>
      </w:r>
    </w:p>
    <w:p>
      <w:pPr>
        <w:jc w:val="left"/>
      </w:pPr>
      <w:r>
        <w:t>Mehrsteuer ca. EUR 17.800 KSt/ESt.</w:t>
      </w:r>
    </w:p>
    <w:p/>
    <w:p>
      <w:pPr>
        <w:pStyle w:val="Heading2"/>
      </w:pPr>
      <w:r>
        <w:rPr>
          <w:rFonts w:ascii="Times New Roman" w:hAnsi="Times New Roman"/>
        </w:rPr>
        <w:t>TOP 4: Feststellung BP-3 (Fremdvergleich Bruder)</w:t>
      </w:r>
    </w:p>
    <w:p>
      <w:pPr>
        <w:jc w:val="left"/>
      </w:pPr>
      <w:r>
        <w:t xml:space="preserve">Ergebnis: </w:t>
      </w:r>
      <w:r>
        <w:rPr>
          <w:b/>
        </w:rPr>
        <w:t>Strittig, kein Kompromiss</w:t>
      </w:r>
      <w:r>
        <w:t>. FA beharrt auf Fremdvergleichspreis EUR 52.000; Kanzlei bietet EUR 72.000 an. Punkt wird im Prüfungsbericht offen gelassen; Einspruchsverfahren vorbehalten.</w:t>
      </w:r>
    </w:p>
    <w:p>
      <w:pPr>
        <w:jc w:val="left"/>
      </w:pPr>
      <w:r>
        <w:t>Streitige Mehrsteuer: EUR 35.500–66.300 je nach Ausgang.</w:t>
      </w:r>
    </w:p>
    <w:p/>
    <w:p>
      <w:pPr>
        <w:pStyle w:val="Heading2"/>
      </w:pPr>
      <w:r>
        <w:rPr>
          <w:rFonts w:ascii="Times New Roman" w:hAnsi="Times New Roman"/>
        </w:rPr>
        <w:t>TOP 5: Feststellung BP-4 (Vorsteuer Portugal)</w:t>
      </w:r>
    </w:p>
    <w:p>
      <w:pPr>
        <w:jc w:val="left"/>
      </w:pPr>
      <w:r>
        <w:t xml:space="preserve">Ergebnis: </w:t>
      </w:r>
      <w:r>
        <w:rPr>
          <w:b/>
        </w:rPr>
        <w:t>Lösung gefunden</w:t>
      </w:r>
      <w:r>
        <w:t>. Berichtigte Rechnungen wurden vorgelegt und anerkannt. Vorsteuer EUR 41.200 bleibt. Zinsen EUR 1.480 werden festgesetzt.</w:t>
      </w:r>
    </w:p>
    <w:p/>
    <w:p>
      <w:pPr>
        <w:pStyle w:val="Heading2"/>
      </w:pPr>
      <w:r>
        <w:rPr>
          <w:rFonts w:ascii="Times New Roman" w:hAnsi="Times New Roman"/>
        </w:rPr>
        <w:t>TOP 6: Feststellung BP-5 (Luxemburg AStG)</w:t>
      </w:r>
    </w:p>
    <w:p>
      <w:pPr>
        <w:jc w:val="left"/>
      </w:pPr>
      <w:r>
        <w:t xml:space="preserve">Ergebnis: </w:t>
      </w:r>
      <w:r>
        <w:rPr>
          <w:b/>
        </w:rPr>
        <w:t>Kein Kompromiss</w:t>
      </w:r>
      <w:r>
        <w:t>. Dies ist der Kernpunkt des Einspruchs- und ggf. Klageverfahrens. FA setzt Hinzurechnungsbesteuerung für 2020–2024 fest (Gesamtbetrag EUR 2.320.000 Hinzurechnungsbetrag). Streitige Nachsteuer ca. EUR 580.000–720.000.</w:t>
      </w:r>
    </w:p>
    <w:p>
      <w:pPr>
        <w:jc w:val="left"/>
      </w:pPr>
      <w:r>
        <w:t>Dr. Vellbruck-Steinheim legt ausdrücklichen Widerspruch ein und kündigt Einspruch und ggf. FG-Klage an.</w:t>
      </w:r>
    </w:p>
    <w:p/>
    <w:p>
      <w:pPr>
        <w:pStyle w:val="Heading2"/>
      </w:pPr>
      <w:r>
        <w:rPr>
          <w:rFonts w:ascii="Times New Roman" w:hAnsi="Times New Roman"/>
        </w:rPr>
        <w:t>TOP 7: Feststellung BP-6 (Kassenführung)</w:t>
      </w:r>
    </w:p>
    <w:p>
      <w:pPr>
        <w:jc w:val="left"/>
      </w:pPr>
      <w:r>
        <w:t xml:space="preserve">Ergebnis: </w:t>
      </w:r>
      <w:r>
        <w:rPr>
          <w:b/>
        </w:rPr>
        <w:t>Teileinigung</w:t>
      </w:r>
      <w:r>
        <w:t>. Schätzungsbetrag auf EUR 10.000/Jahr reduziert. Mehrsteuer EUR 12.400 gesamt.</w:t>
      </w:r>
    </w:p>
    <w:p/>
    <w:p>
      <w:pPr>
        <w:pStyle w:val="Heading2"/>
      </w:pPr>
      <w:r>
        <w:rPr>
          <w:rFonts w:ascii="Times New Roman" w:hAnsi="Times New Roman"/>
        </w:rPr>
        <w:t>TOP 8: Strafrecht</w:t>
      </w:r>
    </w:p>
    <w:p>
      <w:pPr>
        <w:jc w:val="left"/>
      </w:pPr>
      <w:r>
        <w:t>Kelterbaum teilt mit, dass das FA beabsichtigt, die Erkenntnisse zur Luxemburg-Feststellung an die Bußgeld- und Strafsachenstelle (BuStra) weiterzuleiten. Dr. Vellbruck-Steinheim nimmt dies zur Kenntnis und kündigt an, unmittelbar mit einer Selbstanzeige zu reagieren (§ 371 AO).</w:t>
      </w:r>
    </w:p>
    <w:p/>
    <w:p>
      <w:pPr>
        <w:pStyle w:val="Heading2"/>
      </w:pPr>
      <w:r>
        <w:rPr>
          <w:rFonts w:ascii="Times New Roman" w:hAnsi="Times New Roman"/>
        </w:rPr>
        <w:t>Ergebnis-Zusammenfassung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Feststellung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Mehrsteuer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BP-1 Pkw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Einigung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32.400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BP-2 Wohnung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Teileinigung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17.800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BP-3 Bruder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Strittig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35.500–66.300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BP-4 USt Portugal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Gelöst (Zinsen)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1.480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BP-5 Luxemburg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Strittig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580.000–720.000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BP-6 Kasse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Teileinigung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12.400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Gesamt</w:t>
            </w:r>
          </w:p>
        </w:tc>
        <w:tc>
          <w:tcPr>
            <w:tcW w:type="dxa" w:w="3024"/>
          </w:tcPr>
          <w:p/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679.580–850.380</w:t>
            </w:r>
          </w:p>
        </w:tc>
      </w:tr>
    </w:tbl>
    <w:p/>
    <w:p>
      <w:pPr>
        <w:jc w:val="left"/>
      </w:pPr>
      <w:r>
        <w:rPr>
          <w:i/>
        </w:rPr>
        <w:t>Protokoll als vorläufig anerkannt, vorbehaltlich schriftlicher Korrekturen innerhalb 5 Werktagen.</w:t>
      </w:r>
    </w:p>
    <w:p>
      <w:pPr>
        <w:jc w:val="left"/>
      </w:pPr>
      <w:r>
        <w:rPr>
          <w:b/>
        </w:rPr>
        <w:t>Quellen:</w:t>
      </w:r>
    </w:p>
    <w:p>
      <w:pPr>
        <w:pStyle w:val="ListBullet"/>
      </w:pPr>
      <w:r>
        <w:t>§ 201 AO — https://dejure.org/gesetze/AO/201.html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Ort: Finanzamt Augsburg-Stadt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Ort: Finanzamt Augsburg-Stadt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Schleißheimer Str. 132, 86150 Augsburg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