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Finanzgerichtsklage FG München 1 K 2188/26</w:t>
      </w:r>
    </w:p>
    <w:p>
      <w:pPr>
        <w:jc w:val="left"/>
      </w:pPr>
      <w:r>
        <w:rPr>
          <w:b/>
        </w:rPr>
        <w:t>Gericht:</w:t>
      </w:r>
      <w:r>
        <w:t xml:space="preserve"> Finanzgericht München</w:t>
      </w:r>
    </w:p>
    <w:p>
      <w:pPr>
        <w:jc w:val="left"/>
      </w:pPr>
      <w:r>
        <w:rPr>
          <w:b/>
        </w:rPr>
        <w:t>AZ:</w:t>
      </w:r>
      <w:r>
        <w:t xml:space="preserve"> 1 K 2188/26</w:t>
      </w:r>
    </w:p>
    <w:p>
      <w:pPr>
        <w:jc w:val="left"/>
      </w:pPr>
      <w:r>
        <w:rPr>
          <w:b/>
        </w:rPr>
        <w:t>Klägerin:</w:t>
      </w:r>
      <w:r>
        <w:t xml:space="preserve"> Marquardt Handelsvertretung Maschinenbau GmbH &amp; Co. KG, vertreten durch Dr. Cornelia Vellbruck-Steinheim</w:t>
      </w:r>
    </w:p>
    <w:p>
      <w:pPr>
        <w:jc w:val="left"/>
      </w:pPr>
      <w:r>
        <w:rPr>
          <w:b/>
        </w:rPr>
        <w:t>Beklagter:</w:t>
      </w:r>
      <w:r>
        <w:t xml:space="preserve"> Finanzamt Augsburg-Stadt</w:t>
      </w:r>
    </w:p>
    <w:p>
      <w:pPr>
        <w:jc w:val="left"/>
      </w:pPr>
      <w:r>
        <w:rPr>
          <w:b/>
        </w:rPr>
        <w:t>Streitgegenstand:</w:t>
      </w:r>
      <w:r>
        <w:t xml:space="preserve"> Körperschaftsteuer 2022 — Hinzurechnungsbesteuerung AStG und vGA Fremdvergleich</w:t>
      </w:r>
    </w:p>
    <w:p/>
    <w:p>
      <w:pPr>
        <w:pStyle w:val="Heading2"/>
      </w:pPr>
      <w:r>
        <w:rPr>
          <w:rFonts w:ascii="Times New Roman" w:hAnsi="Times New Roman"/>
        </w:rPr>
        <w:t>Zulässigkeit der Klage</w:t>
      </w:r>
    </w:p>
    <w:p>
      <w:pPr>
        <w:pStyle w:val="Heading3"/>
      </w:pPr>
      <w:r>
        <w:rPr>
          <w:rFonts w:ascii="Times New Roman" w:hAnsi="Times New Roman"/>
        </w:rPr>
        <w:t>§ 40 FGO (Anfechtungsklage)</w:t>
      </w:r>
    </w:p>
    <w:p>
      <w:pPr>
        <w:jc w:val="left"/>
      </w:pPr>
      <w:r>
        <w:t>Die Klage ist als Anfechtungsklage gem. § 40 Abs. 1 FGO statthaft. Klagebefugnis besteht, da die Klägerin geltend macht, durch die angefochtenen Bescheide in ihren Rechten verletzt zu sein.</w:t>
      </w:r>
    </w:p>
    <w:p>
      <w:pPr>
        <w:jc w:val="left"/>
      </w:pPr>
      <w:r>
        <w:rPr>
          <w:b/>
        </w:rPr>
        <w:t>Vorverfahren:</w:t>
      </w:r>
      <w:r>
        <w:t xml:space="preserve"> Das Einspruchsverfahren gem. § 347 AO wurde durchgeführt. Die Einspruchsentscheidung des FA Augsburg-Stadt (Aktenzeichen 142/9999/1234-E-2026) wurde am 15.10.2026 bekannt gegeben. Die Klage wird innerhalb der Monatsfrist des § 47 FGO erhoben.</w:t>
      </w:r>
    </w:p>
    <w:p/>
    <w:p>
      <w:pPr>
        <w:pStyle w:val="Heading2"/>
      </w:pPr>
      <w:r>
        <w:rPr>
          <w:rFonts w:ascii="Times New Roman" w:hAnsi="Times New Roman"/>
        </w:rPr>
        <w:t>Klageanträge</w:t>
      </w:r>
    </w:p>
    <w:p>
      <w:pPr>
        <w:pStyle w:val="ListNumber"/>
      </w:pPr>
      <w:r>
        <w:rPr>
          <w:b/>
        </w:rPr>
        <w:t>Hauptantrag:</w:t>
      </w:r>
      <w:r>
        <w:t xml:space="preserve"> Der Körperschaftsteuer-Änderungsbescheid 2022 vom [Datum] in Gestalt der Einspruchsentscheidung vom 15.10.2026 wird aufgehoben, soweit er über die bisher festgesetzte Steuer hinausgeht.</w:t>
      </w:r>
    </w:p>
    <w:p>
      <w:pPr>
        <w:pStyle w:val="ListNumber"/>
      </w:pPr>
      <w:r>
        <w:rPr>
          <w:b/>
        </w:rPr>
        <w:t>Hilfsantrag:</w:t>
      </w:r>
      <w:r>
        <w:t xml:space="preserve"> Die Körperschaftsteuer 2022 wird unter Berücksichtigung einer Hinzurechnung von maximal EUR 200.000 (statt EUR 510.000) festgesetzt.</w:t>
      </w:r>
    </w:p>
    <w:p/>
    <w:p>
      <w:pPr>
        <w:pStyle w:val="Heading2"/>
      </w:pPr>
      <w:r>
        <w:rPr>
          <w:rFonts w:ascii="Times New Roman" w:hAnsi="Times New Roman"/>
        </w:rPr>
        <w:t>Klagebegründung (Kernpunkte)</w:t>
      </w:r>
    </w:p>
    <w:p>
      <w:pPr>
        <w:pStyle w:val="Heading3"/>
      </w:pPr>
      <w:r>
        <w:rPr>
          <w:rFonts w:ascii="Times New Roman" w:hAnsi="Times New Roman"/>
        </w:rPr>
        <w:t>Zu BP-5 (Luxemburg AStG):</w:t>
      </w:r>
    </w:p>
    <w:p>
      <w:pPr>
        <w:jc w:val="left"/>
      </w:pPr>
      <w:r>
        <w:rPr>
          <w:b/>
        </w:rPr>
        <w:t>Argument 1 — EU-Grundfreiheiten:</w:t>
      </w:r>
      <w:r>
        <w:t xml:space="preserve"> Die Hinzurechnungsbesteuerung nach § 7 AStG ist im Lichte der EuGH-Rechtsprechung zur Niederlassungsfreiheit (Art. 49 AEUV) europarechtskonform auszulegen. Eine rein künstliche Gestaltung — die allein dem Ausschluss von deutschem Steuerrecht dient — liegt hier nicht vor; die LuxCo betreute nachweislich Geschäftspartner in Luxemburg und Belgien.</w:t>
      </w:r>
    </w:p>
    <w:p>
      <w:pPr>
        <w:jc w:val="left"/>
      </w:pPr>
      <w:r>
        <w:rPr>
          <w:b/>
        </w:rPr>
        <w:t>Argument 2 — Aktive Einkünfte § 8 Abs. 1 AStG:</w:t>
      </w:r>
      <w:r>
        <w:t xml:space="preserve"> Die Provisionen der LuxCo sind als aktive Dienstleistungseinkünfte i.S.v. § 8 Abs. 1 Nr. 4 AStG zu qualifizieren, nicht als passive Zwischeneinkünfte. § 8 Abs. 1 Nr. 4 AStG stellt für Dienstleistungen ausdrücklich auf die wirtschaftliche Substanz vor Ort ab. Der Prüfer hat diese Differenzierung nicht vorgenommen.</w:t>
      </w:r>
    </w:p>
    <w:p>
      <w:pPr>
        <w:jc w:val="left"/>
      </w:pPr>
      <w:r>
        <w:rPr>
          <w:b/>
        </w:rPr>
        <w:t>Argument 3 — Gegenbeweis § 8 Abs. 2 AStG (Motivtest):</w:t>
      </w:r>
      <w:r>
        <w:t xml:space="preserve"> Auch wenn Zwischeneinkünfte anzunehmen wären, greift die sog. Rückausnahme für wirtschaftliche Tätigkeit in EU/EWR-Staaten. Die LuxCo kann — mit ergänzenden Belegen (Reiseberichte, Korrespondenz mit portugiesischen Kunden) — den Gegenbeweis führen, dass keine rein künstliche Gestaltung vorlag.</w:t>
      </w:r>
    </w:p>
    <w:p/>
    <w:p>
      <w:pPr>
        <w:pStyle w:val="Heading2"/>
      </w:pPr>
      <w:r>
        <w:rPr>
          <w:rFonts w:ascii="Times New Roman" w:hAnsi="Times New Roman"/>
        </w:rPr>
        <w:t>Beweisangebote</w:t>
      </w:r>
    </w:p>
    <w:p>
      <w:pPr>
        <w:pStyle w:val="ListBullet"/>
      </w:pPr>
      <w:r>
        <w:t>Reisekostenabrechnungen des GF (Fahrten nach Luxemburg, Lissabon, Porto)</w:t>
      </w:r>
    </w:p>
    <w:p>
      <w:pPr>
        <w:pStyle w:val="ListBullet"/>
      </w:pPr>
      <w:r>
        <w:t>Kundenschriftverkehr über LuxCo-E-Mail-Adresse</w:t>
      </w:r>
    </w:p>
    <w:p>
      <w:pPr>
        <w:pStyle w:val="ListBullet"/>
      </w:pPr>
      <w:r>
        <w:t>Zeugenaussage: Jean-Pierre Fontaine (luxemburgischer Geschäftspartner)</w:t>
      </w:r>
    </w:p>
    <w:p/>
    <w:p>
      <w:pPr>
        <w:pStyle w:val="Heading2"/>
      </w:pPr>
      <w:r>
        <w:rPr>
          <w:rFonts w:ascii="Times New Roman" w:hAnsi="Times New Roman"/>
        </w:rPr>
        <w:t>Verfahrensverlauf</w:t>
      </w:r>
    </w:p>
    <w:p>
      <w:pPr>
        <w:jc w:val="left"/>
      </w:pPr>
      <w:r>
        <w:t>Gem. § 65 FGO ist die Klage zu begründen; Frist 6 Monate. Streitwert ca. EUR 580.000 (Nachsteuer BP-5) — Gerichtskosten erheblich.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40 FGO — https://dejure.org/gesetze/FGO/40.html</w:t>
      </w:r>
    </w:p>
    <w:p>
      <w:pPr>
        <w:pStyle w:val="ListBullet"/>
      </w:pPr>
      <w:r>
        <w:t>§ 65 FGO — https://dejure.org/gesetze/FGO/65.html</w:t>
      </w:r>
    </w:p>
    <w:p>
      <w:pPr>
        <w:pStyle w:val="ListBullet"/>
      </w:pPr>
      <w:r>
        <w:t>§§ 7 ff. AStG — https://dejure.org/gesetze/AStG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Finanzgerichtsklage FG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Finanzgerichtsklage FG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 K 2188/26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