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18 — BFH-Revision I R 2188/26</w:t>
      </w:r>
    </w:p>
    <w:p>
      <w:pPr>
        <w:jc w:val="left"/>
      </w:pPr>
      <w:r>
        <w:rPr>
          <w:b/>
        </w:rPr>
        <w:t>Gericht:</w:t>
      </w:r>
      <w:r>
        <w:t xml:space="preserve"> Bundesfinanzhof, München</w:t>
      </w:r>
    </w:p>
    <w:p>
      <w:pPr>
        <w:jc w:val="left"/>
      </w:pPr>
      <w:r>
        <w:rPr>
          <w:b/>
        </w:rPr>
        <w:t>Revisionssenat:</w:t>
      </w:r>
      <w:r>
        <w:t xml:space="preserve"> I. Senat (Körperschaftsteuer, internationales Steuerrecht)</w:t>
      </w:r>
    </w:p>
    <w:p>
      <w:pPr>
        <w:jc w:val="left"/>
      </w:pPr>
      <w:r>
        <w:rPr>
          <w:b/>
        </w:rPr>
        <w:t>AZ:</w:t>
      </w:r>
      <w:r>
        <w:t xml:space="preserve"> I R 2188/26</w:t>
      </w:r>
    </w:p>
    <w:p>
      <w:pPr>
        <w:jc w:val="left"/>
      </w:pPr>
      <w:r>
        <w:rPr>
          <w:b/>
        </w:rPr>
        <w:t>Revisionskläger:</w:t>
      </w:r>
      <w:r>
        <w:t xml:space="preserve"> Marquardt Handelsvertretung Maschinenbau GmbH &amp; Co. KG</w:t>
      </w:r>
    </w:p>
    <w:p>
      <w:pPr>
        <w:jc w:val="left"/>
      </w:pPr>
      <w:r>
        <w:rPr>
          <w:b/>
        </w:rPr>
        <w:t>Revisionsbeklagter:</w:t>
      </w:r>
      <w:r>
        <w:t xml:space="preserve"> Finanzamt Augsburg-Stadt</w:t>
      </w:r>
    </w:p>
    <w:p>
      <w:pPr>
        <w:jc w:val="left"/>
      </w:pPr>
      <w:r>
        <w:rPr>
          <w:b/>
        </w:rPr>
        <w:t>Gegenstand:</w:t>
      </w:r>
      <w:r>
        <w:t xml:space="preserve"> Revisionszulassung gegen FG-München-Urteil 1 K 2188/26</w:t>
      </w:r>
    </w:p>
    <w:p/>
    <w:p>
      <w:pPr>
        <w:pStyle w:val="Heading2"/>
      </w:pPr>
      <w:r>
        <w:rPr>
          <w:rFonts w:ascii="Times New Roman" w:hAnsi="Times New Roman"/>
        </w:rPr>
        <w:t>Revisionszulassung § 115 FGO</w:t>
      </w:r>
    </w:p>
    <w:p>
      <w:pPr>
        <w:jc w:val="left"/>
      </w:pPr>
      <w:r>
        <w:t>Die Revision gegen das Urteil des FG München ist zulässig nur bei Zulassung durch das FG (§ 115 Abs. 1 FGO). Die Zulassung kann begehrt werden, wenn:</w:t>
      </w:r>
    </w:p>
    <w:p>
      <w:pPr>
        <w:pStyle w:val="ListBullet"/>
      </w:pPr>
      <w:r>
        <w:t>Die Rechtssache grundsätzliche Bedeutung hat (§ 115 Abs. 2 Nr. 1 FGO)</w:t>
      </w:r>
    </w:p>
    <w:p>
      <w:pPr>
        <w:pStyle w:val="ListBullet"/>
      </w:pPr>
      <w:r>
        <w:t>Das Urteil von einer BFH-Entscheidung abweicht (§ 115 Abs. 2 Nr. 2 FGO)</w:t>
      </w:r>
    </w:p>
    <w:p>
      <w:pPr>
        <w:pStyle w:val="ListBullet"/>
      </w:pPr>
      <w:r>
        <w:t>Ein Verfahrensmangel vorliegt (§ 115 Abs. 2 Nr. 3 FGO)</w:t>
      </w:r>
    </w:p>
    <w:p/>
    <w:p>
      <w:pPr>
        <w:pStyle w:val="Heading2"/>
      </w:pPr>
      <w:r>
        <w:rPr>
          <w:rFonts w:ascii="Times New Roman" w:hAnsi="Times New Roman"/>
        </w:rPr>
        <w:t>Grundsatzrevision — Revisionsgründe</w:t>
      </w:r>
    </w:p>
    <w:p>
      <w:pPr>
        <w:pStyle w:val="Heading3"/>
      </w:pPr>
      <w:r>
        <w:rPr>
          <w:rFonts w:ascii="Times New Roman" w:hAnsi="Times New Roman"/>
        </w:rPr>
        <w:t>Grundsätzliche Bedeutung (§ 115 Abs. 2 Nr. 1 FGO)</w:t>
      </w:r>
    </w:p>
    <w:p>
      <w:pPr>
        <w:jc w:val="left"/>
      </w:pPr>
      <w:r>
        <w:t>Die Frage, ob die Hinzurechnungsbesteuerung nach § 7 AStG bei einer EU-Tochtergesellschaft, die über eine minimale wirtschaftliche Aktivität verfügt, mit der Niederlassungsfreiheit (Art. 49 AEUV) vereinbar ist, hat grundsätzliche Bedeutung. Der BFH hat diese Frage in I R 36/14 (bundesfinanzhof.de) offen gelassen; eine Klärung steht aus.</w:t>
      </w:r>
    </w:p>
    <w:p>
      <w:pPr>
        <w:jc w:val="left"/>
      </w:pPr>
      <w:r>
        <w:t>Insbesondere ist ungeklärt: Was ist die Mindestsubstanz, die eine EU-Tochtergesellschaft nachweisen muss, um den Gegenbeweis nach § 8 Abs. 2 AStG zu führen? Die Literatur ist gespalten; eine BFH-Leitentscheidung fehlt.</w:t>
      </w:r>
    </w:p>
    <w:p>
      <w:pPr>
        <w:pStyle w:val="Heading3"/>
      </w:pPr>
      <w:r>
        <w:rPr>
          <w:rFonts w:ascii="Times New Roman" w:hAnsi="Times New Roman"/>
        </w:rPr>
        <w:t>Abweichung von BFH-Rechtsprechung (§ 115 Abs. 2 Nr. 2 FGO)</w:t>
      </w:r>
    </w:p>
    <w:p>
      <w:pPr>
        <w:jc w:val="left"/>
      </w:pPr>
      <w:r>
        <w:t>Das FG München hat bei der Beurteilung der wirtschaftlichen Substanz der LuxCo eine Beweislastumkehr angewendet, die im Widerspruch zu BFH I R 36/14 steht: Danach liegt die Beweislast für das Vorliegen rein künstlicher Gestaltungen grundsätzlich beim FA, nicht beim Steuerpflichtigen.</w:t>
      </w:r>
    </w:p>
    <w:p/>
    <w:p>
      <w:pPr>
        <w:pStyle w:val="Heading2"/>
      </w:pPr>
      <w:r>
        <w:rPr>
          <w:rFonts w:ascii="Times New Roman" w:hAnsi="Times New Roman"/>
        </w:rPr>
        <w:t>Nichtzulassungsbeschwerde (§ 116 FGO)</w:t>
      </w:r>
    </w:p>
    <w:p>
      <w:pPr>
        <w:jc w:val="left"/>
      </w:pPr>
      <w:r>
        <w:t>Sollte das FG München die Revision nicht zulassen, wird Nichtzulassungsbeschwerde gem. § 116 FGO eingelegt. Frist: 1 Monat nach Zustellung des vollständigen Urteils.</w:t>
      </w:r>
    </w:p>
    <w:p/>
    <w:p>
      <w:pPr>
        <w:pStyle w:val="Heading2"/>
      </w:pPr>
      <w:r>
        <w:rPr>
          <w:rFonts w:ascii="Times New Roman" w:hAnsi="Times New Roman"/>
        </w:rPr>
        <w:t>Bedeutung für den Mandanten</w:t>
      </w:r>
    </w:p>
    <w:p>
      <w:pPr>
        <w:jc w:val="left"/>
      </w:pPr>
      <w:r>
        <w:t>Eine BFH-Entscheidung in I R 2188/26 wäre präjudiziell für alle deutschen Unternehmen mit EU-Tochtergesellschaften ohne volle Substanz. Dies erhöht die Bereitschaft des BFH, die Revision anzunehmen. Bis zur BFH-Entscheidung: Aussetzung der Vollziehung gem. § 69 FGO und § 361 AO beantragt.</w:t>
      </w:r>
    </w:p>
    <w:p>
      <w:pPr>
        <w:jc w:val="left"/>
      </w:pPr>
      <w:r>
        <w:t>Verfahrensdauer BFH: erfahrungsgemäß 2–4 Jahre.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§ 115 FGO — https://dejure.org/gesetze/FGO/115.html</w:t>
      </w:r>
    </w:p>
    <w:p>
      <w:pPr>
        <w:pStyle w:val="ListBullet"/>
      </w:pPr>
      <w:r>
        <w:t>BFH I R 36/14 — https://www.bundesfinanzhof.de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Gericht: Bundesfinanzhof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Gericht: Bundesfinanzhof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München · I R 2188/26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