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Gemeinsamer Abschlussvermerk RA und Steuerberater</w:t>
      </w:r>
    </w:p>
    <w:p>
      <w:pPr>
        <w:jc w:val="left"/>
      </w:pPr>
      <w:r>
        <w:rPr>
          <w:b/>
        </w:rPr>
        <w:t>Kanzlei:</w:t>
      </w:r>
      <w:r>
        <w:t xml:space="preserve"> Dr. Cornelia Vellbruck-Steinheim (RA/StB) und Falk Roosendaal (StB Dipl.-Kfm.)</w:t>
      </w:r>
    </w:p>
    <w:p>
      <w:pPr>
        <w:jc w:val="left"/>
      </w:pPr>
      <w:r>
        <w:rPr>
          <w:b/>
        </w:rPr>
        <w:t>Kanzlei-AZ:</w:t>
      </w:r>
      <w:r>
        <w:t xml:space="preserve"> VS-2026-StR-0508</w:t>
      </w:r>
    </w:p>
    <w:p>
      <w:pPr>
        <w:jc w:val="left"/>
      </w:pPr>
      <w:r>
        <w:rPr>
          <w:b/>
        </w:rPr>
        <w:t>Datum:</w:t>
      </w:r>
      <w:r>
        <w:t xml:space="preserve"> Oktober 2026</w:t>
      </w:r>
    </w:p>
    <w:p>
      <w:pPr>
        <w:jc w:val="left"/>
      </w:pPr>
      <w:r>
        <w:rPr>
          <w:b/>
        </w:rPr>
        <w:t>Mandant:</w:t>
      </w:r>
      <w:r>
        <w:t xml:space="preserve"> Marquardt Handelsvertretung Maschinenbau GmbH &amp; Co. KG, Reinhard Marquardt-Eichenmüller</w:t>
      </w:r>
    </w:p>
    <w:p/>
    <w:p>
      <w:pPr>
        <w:pStyle w:val="Heading2"/>
      </w:pPr>
      <w:r>
        <w:rPr>
          <w:rFonts w:ascii="Times New Roman" w:hAnsi="Times New Roman"/>
        </w:rPr>
        <w:t>Zusammenfassung des Mandatsstands</w:t>
      </w:r>
    </w:p>
    <w:p>
      <w:pPr>
        <w:pStyle w:val="Heading3"/>
      </w:pPr>
      <w:r>
        <w:rPr>
          <w:rFonts w:ascii="Times New Roman" w:hAnsi="Times New Roman"/>
        </w:rPr>
        <w:t>Steuerliche Dimension</w:t>
      </w:r>
    </w:p>
    <w:p>
      <w:pPr>
        <w:jc w:val="left"/>
      </w:pPr>
      <w:r>
        <w:t>Nach Abschluss der Betriebsprüfung und Einleitung der Rechtsbehelfsverfahren stellt sich die steuerliche Lage wie folgt dar: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Feststellung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Streitstatus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Geschätzte Mehrsteuer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BP-1 Pkw-Pool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32.400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BP-2 Firmenwohnung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17.800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BP-3 Fremdvergleich Bruder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Strittig (TV/FG)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35.500–66.300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BP-4 Vorsteuer Portugal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Gelöst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1.480 (Zinsen)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BP-5 Luxemburg AStG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FG München / BFH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580.000–720.000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BP-6 Kassenführung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12.400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Kapitalerträge Privat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28.913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708.493–878.293</w:t>
            </w:r>
          </w:p>
        </w:tc>
      </w:tr>
    </w:tbl>
    <w:p>
      <w:pPr>
        <w:jc w:val="left"/>
      </w:pPr>
      <w:r>
        <w:t>Abzüglich Anrechnung luxemburgischer Steuern (ca. EUR 85.000) ergibt sich ein realistisches Exposure von EUR 623.000–793.000 Steuer und Zinsen.</w:t>
      </w:r>
    </w:p>
    <w:p>
      <w:pPr>
        <w:pStyle w:val="Heading3"/>
      </w:pPr>
      <w:r>
        <w:rPr>
          <w:rFonts w:ascii="Times New Roman" w:hAnsi="Times New Roman"/>
        </w:rPr>
        <w:t>Strafrechtliche Dimension</w:t>
      </w:r>
    </w:p>
    <w:p>
      <w:pPr>
        <w:jc w:val="left"/>
      </w:pPr>
      <w:r>
        <w:t>Das Strafverfahren 188 Js 7104/26 ist eingeleitet. Bei vollständiger Kooperation und Zahlung ist eine Verfahrenseinstellung nach § 153a StPO wahrscheinlich. Das Beratungs-Team empfiehlt:</w:t>
      </w:r>
    </w:p>
    <w:p>
      <w:pPr>
        <w:pStyle w:val="ListBullet"/>
      </w:pPr>
      <w:r>
        <w:t>Vollständige und unverzügliche Selbstanzeige</w:t>
      </w:r>
    </w:p>
    <w:p>
      <w:pPr>
        <w:pStyle w:val="ListBullet"/>
      </w:pPr>
      <w:r>
        <w:t>Sofortige Nachzahlung der zweifelsfrei hinterzogenen Beträge</w:t>
      </w:r>
    </w:p>
    <w:p>
      <w:pPr>
        <w:pStyle w:val="ListBullet"/>
      </w:pPr>
      <w:r>
        <w:t>Kooperative Haltung gegenüber der BuStra</w:t>
      </w:r>
    </w:p>
    <w:p>
      <w:pPr>
        <w:pStyle w:val="ListBullet"/>
      </w:pPr>
      <w:r>
        <w:t>Keine weiteren steueroptimierenden Auslandsstrukturen</w:t>
      </w:r>
    </w:p>
    <w:p/>
    <w:p>
      <w:pPr>
        <w:pStyle w:val="Heading2"/>
      </w:pPr>
      <w:r>
        <w:rPr>
          <w:rFonts w:ascii="Times New Roman" w:hAnsi="Times New Roman"/>
        </w:rPr>
        <w:t>Mandatsumfang und Handlungsfelder</w:t>
      </w:r>
    </w:p>
    <w:p>
      <w:pPr>
        <w:jc w:val="left"/>
      </w:pPr>
      <w:r>
        <w:t>Das Beratungs-Team übernimmt folgende Aufgaben:</w:t>
      </w:r>
    </w:p>
    <w:p>
      <w:pPr>
        <w:pStyle w:val="ListNumber"/>
      </w:pPr>
      <w:r>
        <w:rPr>
          <w:b/>
        </w:rPr>
        <w:t>StB Roosendaal:</w:t>
      </w:r>
      <w:r>
        <w:t xml:space="preserve"> Steuerliche Begleitung der Betriebsprüfungsfeststellungen, Erstellung korrigierter Steuererklärungen, Berechnung der Nachzahlungsbeträge.</w:t>
      </w:r>
    </w:p>
    <w:p>
      <w:pPr>
        <w:pStyle w:val="ListNumber"/>
      </w:pPr>
      <w:r>
        <w:rPr>
          <w:b/>
        </w:rPr>
        <w:t>Dr. Vellbruck-Steinheim:</w:t>
      </w:r>
      <w:r>
        <w:t xml:space="preserve"> Einspruchsführung, AdV-Antrag, FG-Klage, BFH-Revision, Selbstanzeige § 371 AO, Strafverteidigung BuStra.</w:t>
      </w:r>
    </w:p>
    <w:p>
      <w:pPr>
        <w:pStyle w:val="ListNumber"/>
      </w:pPr>
      <w:r>
        <w:rPr>
          <w:b/>
        </w:rPr>
        <w:t>Gemeinsam:</w:t>
      </w:r>
      <w:r>
        <w:t xml:space="preserve"> Tatsächliche Verständigung, Mandantenkommunikation, Zukunftsplanung.</w:t>
      </w:r>
    </w:p>
    <w:p/>
    <w:p>
      <w:pPr>
        <w:pStyle w:val="Heading2"/>
      </w:pPr>
      <w:r>
        <w:rPr>
          <w:rFonts w:ascii="Times New Roman" w:hAnsi="Times New Roman"/>
        </w:rPr>
        <w:t>Besondere Bearbeitungshinweise</w:t>
      </w:r>
    </w:p>
    <w:p>
      <w:pPr>
        <w:jc w:val="left"/>
      </w:pPr>
      <w:r>
        <w:t>Diese Akte verlangt den koordinierten Einsatz von Steueranwalt und Steuerberater in einem komplexen Betriebsprüfungsverfahren mit steuerstrafrechtlicher Dimension. Für die weitere Bearbeitung sind insbesondere folgende Arbeitsstränge offen:</w:t>
      </w:r>
    </w:p>
    <w:p>
      <w:pPr>
        <w:pStyle w:val="ListBullet"/>
      </w:pPr>
      <w:r>
        <w:t>Sachverhaltsanalyse und Rechtsqualifikation aller 6 Feststellungstypen</w:t>
      </w:r>
    </w:p>
    <w:p>
      <w:pPr>
        <w:pStyle w:val="ListBullet"/>
      </w:pPr>
      <w:r>
        <w:t>Entwurf von Einsprüchen, AdV-Anträgen und Klageschriften</w:t>
      </w:r>
    </w:p>
    <w:p>
      <w:pPr>
        <w:pStyle w:val="ListBullet"/>
      </w:pPr>
      <w:r>
        <w:t>Vorbereitung von Selbstanzeigen gem. § 371 AO</w:t>
      </w:r>
    </w:p>
    <w:p>
      <w:pPr>
        <w:pStyle w:val="ListBullet"/>
      </w:pPr>
      <w:r>
        <w:t>Analyse von AStG-Konstellationen und EU-Grundfreiheitsfragen</w:t>
      </w:r>
    </w:p>
    <w:p>
      <w:pPr>
        <w:pStyle w:val="ListBullet"/>
      </w:pPr>
      <w:r>
        <w:t>Strafrechtliche Risikoabschätzung und Verteidigungsstrategie</w:t>
      </w:r>
    </w:p>
    <w:p>
      <w:pPr>
        <w:pStyle w:val="ListBullet"/>
      </w:pPr>
      <w:r>
        <w:t>Mandantenkommunikation und psychologische Begleitung</w:t>
      </w:r>
    </w:p>
    <w:p>
      <w:pPr>
        <w:pStyle w:val="ListBullet"/>
      </w:pPr>
      <w:r>
        <w:t>Prüfung tatsächlicher Verständigungen</w:t>
      </w:r>
    </w:p>
    <w:p/>
    <w:p>
      <w:pPr>
        <w:pStyle w:val="Heading2"/>
      </w:pPr>
      <w:r>
        <w:rPr>
          <w:rFonts w:ascii="Times New Roman" w:hAnsi="Times New Roman"/>
        </w:rPr>
        <w:t>Schluss</w:t>
      </w:r>
    </w:p>
    <w:p>
      <w:pPr>
        <w:jc w:val="left"/>
      </w:pPr>
      <w:r>
        <w:rPr>
          <w:i/>
        </w:rPr>
        <w:t>Dieses Mandat erfordert eine enge Zusammenarbeit von Steuerberater (Zahlen, Bilanzen, Steuererklärungen) und Steueranwalt (Verfahrensrecht, Strafrecht, Gerichtsverfahren). Ohne koordinierten Ansatz wäre das Risiko für den Mandanten deutlich höher.</w:t>
      </w:r>
    </w:p>
    <w:p>
      <w:pPr>
        <w:jc w:val="left"/>
      </w:pPr>
      <w:r>
        <w:rPr>
          <w:i/>
        </w:rPr>
        <w:t>Dr. Cornelia Vellbruck-Steinheim, RA/StB</w:t>
      </w:r>
    </w:p>
    <w:p>
      <w:pPr>
        <w:jc w:val="left"/>
      </w:pPr>
      <w:r>
        <w:rPr>
          <w:i/>
        </w:rPr>
        <w:t>Falk Roosendaal, StB Dipl.-Kfm.</w:t>
      </w:r>
    </w:p>
    <w:p>
      <w:pPr>
        <w:jc w:val="left"/>
      </w:pPr>
      <w:r>
        <w:rPr>
          <w:i/>
        </w:rPr>
        <w:t>Augsburg, Oktober 2026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AO §§ 153, 370, 371 — https://dejure.org/gesetze/AO</w:t>
      </w:r>
    </w:p>
    <w:p>
      <w:pPr>
        <w:pStyle w:val="ListBullet"/>
      </w:pPr>
      <w:r>
        <w:t>FGO §§ 40, 65, 115 — https://dejure.org/gesetze/FGO</w:t>
      </w:r>
    </w:p>
    <w:p>
      <w:pPr>
        <w:pStyle w:val="ListBullet"/>
      </w:pPr>
      <w:r>
        <w:t>AStG §§ 7 ff. — https://dejure.org/gesetze/AStG</w:t>
      </w:r>
    </w:p>
    <w:p>
      <w:pPr>
        <w:pStyle w:val="ListBullet"/>
      </w:pPr>
      <w:r>
        <w:t>BFH I R 36/14 — https://www.bundesfinanzhof.de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Marquardt Handelsvertretung Maschinenbau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Marquardt Handelsvertretung Maschinenbau GmbH &amp; Co. KG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Reinhard Marquardt-Eichenmüller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