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Verbandsklage VZ NRW: LG Hannover 18 OH 8/26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Rechtlicher Rahmen: Verbandsklagerichtlinie und VRUG</w:t>
      </w:r>
    </w:p>
    <w:p>
      <w:pPr>
        <w:jc w:val="left"/>
      </w:pPr>
      <w:r>
        <w:t>Die Verbandsklagerichtlinie (RL EU 2020/1828) wurde durch das Verbandsklagenrichtlinienumsetzungsgesetz (VRUG) in deutsches Recht umgesetzt. Im Bereich Barrierefreiheit können anerkannte Verbraucherverbände Verbandsklagen erheben, wenn Unternehmen Verbraucherschutzrecht (wozu BFSG als Marktverhaltensregel zählt) verletzen.</w:t>
      </w:r>
    </w:p>
    <w:p>
      <w:pPr>
        <w:jc w:val="left"/>
      </w:pPr>
      <w:r>
        <w:t>Die VZ NRW ist nach § 4 UKlaG anerkannte qualifizierte Einrichtung und klagebefugt.</w:t>
      </w:r>
    </w:p>
    <w:p/>
    <w:p>
      <w:pPr>
        <w:pStyle w:val="Heading2"/>
      </w:pPr>
      <w:r>
        <w:rPr>
          <w:rFonts w:ascii="Times New Roman" w:hAnsi="Times New Roman"/>
        </w:rPr>
        <w:t>2. Klagebegehren VZ NRW</w:t>
      </w:r>
    </w:p>
    <w:p>
      <w:pPr>
        <w:jc w:val="left"/>
      </w:pPr>
      <w:r>
        <w:t>Aus der Klageschrift (Az. LG Hannover 18 OH 8/26):</w:t>
      </w:r>
    </w:p>
    <w:p>
      <w:pPr>
        <w:pStyle w:val="ListNumber"/>
      </w:pPr>
      <w:r>
        <w:rPr>
          <w:b/>
        </w:rPr>
        <w:t>Unterlassung:</w:t>
      </w:r>
      <w:r>
        <w:t xml:space="preserve"> Tannenkamp Mode-Versand GmbH wird verurteilt, es zu unterlassen, einen Online-Shop für Verbraucher zu betreiben, der nicht den Anforderungen des § 14 BFSG i.V.m. BFSG-DV Anlage 1 entspricht.</w:t>
      </w:r>
    </w:p>
    <w:p>
      <w:pPr>
        <w:pStyle w:val="ListNumber"/>
      </w:pPr>
      <w:r>
        <w:rPr>
          <w:b/>
        </w:rPr>
        <w:t>Beseitigung:</w:t>
      </w:r>
      <w:r>
        <w:t xml:space="preserve"> Herstellung eines WCAG 2.1 AA-konformen Zustands des Online-Shops binnen sechs Wochen nach Rechtskraft.</w:t>
      </w:r>
    </w:p>
    <w:p>
      <w:pPr>
        <w:pStyle w:val="ListNumber"/>
      </w:pPr>
      <w:r>
        <w:rPr>
          <w:b/>
        </w:rPr>
        <w:t>Kostentragung:</w:t>
      </w:r>
      <w:r>
        <w:t xml:space="preserve"> Tannenkamp trägt die Verfahrenskosten.</w:t>
      </w:r>
    </w:p>
    <w:p/>
    <w:p>
      <w:pPr>
        <w:pStyle w:val="Heading2"/>
      </w:pPr>
      <w:r>
        <w:rPr>
          <w:rFonts w:ascii="Times New Roman" w:hAnsi="Times New Roman"/>
        </w:rPr>
        <w:t>3. Zulässigkeit</w:t>
      </w:r>
    </w:p>
    <w:p>
      <w:pPr>
        <w:pStyle w:val="Heading3"/>
      </w:pPr>
      <w:r>
        <w:rPr>
          <w:rFonts w:ascii="Times New Roman" w:hAnsi="Times New Roman"/>
        </w:rPr>
        <w:t>3.1 Sachliche Zuständigkeit LG Hannover</w:t>
      </w:r>
    </w:p>
    <w:p>
      <w:pPr>
        <w:jc w:val="left"/>
      </w:pPr>
      <w:r>
        <w:t>§ 6 UKlaG i.V.m. § 13 GVG: Verbandsklagen im Bereich Verbraucherschutzrecht vor den Landgerichten zulässig. Streitwert: bei Unterlassungsklagen im E-Commerce typisch 15.000–50.000 EUR. LG Hannover sachlich und örtlich zuständig (Sitz MüNI in Niedersachsen, ergänzend § 14 Abs. 2 UKlaG).</w:t>
      </w:r>
    </w:p>
    <w:p>
      <w:pPr>
        <w:pStyle w:val="Heading3"/>
      </w:pPr>
      <w:r>
        <w:rPr>
          <w:rFonts w:ascii="Times New Roman" w:hAnsi="Times New Roman"/>
        </w:rPr>
        <w:t>3.2 Klagebefugnis</w:t>
      </w:r>
    </w:p>
    <w:p>
      <w:pPr>
        <w:jc w:val="left"/>
      </w:pPr>
      <w:r>
        <w:t>VZ NRW ist im Klageregister eingetragen (§ 606 ZPO i.d.F. VRUG). Klagebefugnis unstreitig.</w:t>
      </w:r>
    </w:p>
    <w:p/>
    <w:p>
      <w:pPr>
        <w:pStyle w:val="Heading2"/>
      </w:pPr>
      <w:r>
        <w:rPr>
          <w:rFonts w:ascii="Times New Roman" w:hAnsi="Times New Roman"/>
        </w:rPr>
        <w:t>4. Begründetheit — Prüfpunkte für die Klageerwiderung</w:t>
      </w:r>
    </w:p>
    <w:p>
      <w:pPr>
        <w:pStyle w:val="Heading3"/>
      </w:pPr>
      <w:r>
        <w:rPr>
          <w:rFonts w:ascii="Times New Roman" w:hAnsi="Times New Roman"/>
        </w:rPr>
        <w:t>4.1 Verletzung § 14 BFSG</w:t>
      </w:r>
    </w:p>
    <w:p>
      <w:pPr>
        <w:jc w:val="left"/>
      </w:pPr>
      <w:r>
        <w:t>§ 14 BFSG verpflichtet Dienstleistungserbringer, ihre Dienste so zu gestalten, dass die Anforderungen des Anhangs I BFSG-DV erfüllt werden. Die festgestellten Mängel (Aktenstücke 06 und 07) konstituieren objektiv einen Verstoß gegen § 14 BFSG.</w:t>
      </w:r>
    </w:p>
    <w:p>
      <w:pPr>
        <w:jc w:val="left"/>
      </w:pPr>
      <w:r>
        <w:t>Verteidigung: Mandantin hat unverzüglich nach Kenntnis gehandelt. Zwischen Inverkehrbringen des Shops (2018/2022) und BFSG-Inkrafttreten (28.06.2025) war kein Verstoß möglich. Nach BFSG-Inkrafttreten fehlte eine spezifische behördliche Konkretisierung der Anforderungen für private Online-Shops.</w:t>
      </w:r>
    </w:p>
    <w:p>
      <w:pPr>
        <w:pStyle w:val="Heading3"/>
      </w:pPr>
      <w:r>
        <w:rPr>
          <w:rFonts w:ascii="Times New Roman" w:hAnsi="Times New Roman"/>
        </w:rPr>
        <w:t>4.2 Unterlassungsanspruch — Wiederholungsgefahr</w:t>
      </w:r>
    </w:p>
    <w:p>
      <w:pPr>
        <w:jc w:val="left"/>
      </w:pPr>
      <w:r>
        <w:t>Für den Unterlassungsanspruch nach § 1 UKlaG muss Wiederholungsgefahr bestehen. Diese wird gesetzlich vermutet (§ 8 Abs. 1 S. 2 UWG analog). Sie kann durch Abgabe einer strafbewehrten Unterlassungserklärung mit konkretem Sanierungsplan ausgeräumt werden.</w:t>
      </w:r>
    </w:p>
    <w:p>
      <w:pPr>
        <w:jc w:val="left"/>
      </w:pPr>
      <w:r>
        <w:t>Empfehlung: Abgabe einer modifizierten Unterlassungserklärung mit Verpflichtung zur WCAG-Konformität bis 30.09.2026, verbunden mit einer Vertragsstrafe von 5.000 EUR pro nachgewiesenem Verstoß bei schuldhaftem Rückfall.</w:t>
      </w:r>
    </w:p>
    <w:p>
      <w:pPr>
        <w:pStyle w:val="Heading3"/>
      </w:pPr>
      <w:r>
        <w:rPr>
          <w:rFonts w:ascii="Times New Roman" w:hAnsi="Times New Roman"/>
        </w:rPr>
        <w:t>4.3 Beseitigungsanspruch — Frist</w:t>
      </w:r>
    </w:p>
    <w:p>
      <w:pPr>
        <w:jc w:val="left"/>
      </w:pPr>
      <w:r>
        <w:t>Sechs-Wochen-Frist aus der Klage ist unrealistisch. Fachliteratur und Rechtsprechung anerkennen, dass WCAG-Vollkonformität bei einem komplexen E-Commerce-System mit mehreren tausend Produktseiten nicht in sechs Wochen herstellbar ist (vgl. Sanierungsaufwand Aktenstück 16: ca. 16–24 Wochen). Klageerwiderung muss Fristverlängerung auf 30.09.2026 beantragen.</w:t>
      </w:r>
    </w:p>
    <w:p/>
    <w:p>
      <w:pPr>
        <w:pStyle w:val="Heading2"/>
      </w:pPr>
      <w:r>
        <w:rPr>
          <w:rFonts w:ascii="Times New Roman" w:hAnsi="Times New Roman"/>
        </w:rPr>
        <w:t>5. Prozessuale Strategie</w:t>
      </w:r>
    </w:p>
    <w:p>
      <w:pPr>
        <w:jc w:val="left"/>
      </w:pPr>
      <w:r>
        <w:rPr>
          <w:b/>
        </w:rPr>
        <w:t>Vorrangige Strategie: Einvernehmliche Lösung vor LG Hannover</w:t>
      </w:r>
    </w:p>
    <w:p>
      <w:pPr>
        <w:jc w:val="left"/>
      </w:pPr>
      <w:r>
        <w:t>Ideal wäre eine protokollierte Vergleichslösung: Tannenkamp verpflichtet sich zur WCAG-Konformität bis 30.09.2026, VZ NRW verzichtet auf Kostenantrag. Kosten trägt jede Partei selbst.</w:t>
      </w:r>
    </w:p>
    <w:p>
      <w:pPr>
        <w:jc w:val="left"/>
      </w:pPr>
      <w:r>
        <w:rPr>
          <w:b/>
        </w:rPr>
        <w:t>Fallback: Klageerwiderung mit Fristvorbehalt</w:t>
      </w:r>
    </w:p>
    <w:p>
      <w:pPr>
        <w:jc w:val="left"/>
      </w:pPr>
      <w:r>
        <w:t>Wenn kein Vergleich: Klageerwiderung mit detailliertem Sanierungsplan als Anlage; Antrag auf Fristverlängerung; Bestreitung der Sechs-Wochen-Frist als unzumutbar.</w:t>
      </w:r>
    </w:p>
    <w:p/>
    <w:p>
      <w:pPr>
        <w:jc w:val="left"/>
      </w:pPr>
      <w:r>
        <w:rPr>
          <w:i/>
        </w:rPr>
        <w:t>Quelle: UKlaG (dejure.org/gesetze/UKlaG); BFSG § 14, § 33 (dejure.org/gesetze/BFSG); RL EU 2020/1828 Verbandsklagen (EUR-Lex 32020L1828)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1. Rechtlicher Rahmen: Verbandsklagerichtlinie und VRUG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1. Rechtlicher Rahmen: Verbandsklagerichtlinie und VRUG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18 OH 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