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16 — Remediation-Roadmap: Technik und Redesign</w:t>
      </w:r>
    </w:p>
    <w:p>
      <w:pPr>
        <w:jc w:val="left"/>
      </w:pPr>
      <w:r>
        <w:rPr>
          <w:b/>
        </w:rPr>
        <w:t>Bearbeitungsstand:</w:t>
      </w:r>
      <w:r>
        <w:t xml:space="preserve"> April 2026 (Koordination Dr. Friedrichs / IT-Leiter Wörmann / AccessCheck GmbH)</w:t>
      </w:r>
    </w:p>
    <w:p/>
    <w:p>
      <w:pPr>
        <w:pStyle w:val="Heading2"/>
      </w:pPr>
      <w:r>
        <w:rPr>
          <w:rFonts w:ascii="Times New Roman" w:hAnsi="Times New Roman"/>
        </w:rPr>
        <w:t>1. Überblick und Zielsetzung</w:t>
      </w:r>
    </w:p>
    <w:p>
      <w:pPr>
        <w:jc w:val="left"/>
      </w:pPr>
      <w:r>
        <w:t>Ziel ist die vollständige WCAG 2.1 AA-Konformität des Online-Shops tannenkamp-mode.de (inkl. PDF-Kataloge Herbst/Winter 2025) bis spätestens 30.09.2026. Die Roadmap ist in drei Phasen gegliedert:</w:t>
      </w:r>
    </w:p>
    <w:p>
      <w:pPr>
        <w:pStyle w:val="ListBullet"/>
      </w:pPr>
      <w:r>
        <w:rPr>
          <w:b/>
        </w:rPr>
        <w:t>Phase 1 (Sofortmaßnahmen):</w:t>
      </w:r>
      <w:r>
        <w:t xml:space="preserve"> Kritische Verstöße beheben — bis 30.06.2026</w:t>
      </w:r>
    </w:p>
    <w:p>
      <w:pPr>
        <w:pStyle w:val="ListBullet"/>
      </w:pPr>
      <w:r>
        <w:rPr>
          <w:b/>
        </w:rPr>
        <w:t>Phase 2 (Tiefensanierung):</w:t>
      </w:r>
      <w:r>
        <w:t xml:space="preserve"> Systemische Korrekturen — bis 31.08.2026</w:t>
      </w:r>
    </w:p>
    <w:p>
      <w:pPr>
        <w:pStyle w:val="ListBullet"/>
      </w:pPr>
      <w:r>
        <w:rPr>
          <w:b/>
        </w:rPr>
        <w:t>Phase 3 (Verifikation):</w:t>
      </w:r>
      <w:r>
        <w:t xml:space="preserve"> Audit und Zertifizierung — bis 30.09.2026</w:t>
      </w:r>
    </w:p>
    <w:p/>
    <w:p>
      <w:pPr>
        <w:pStyle w:val="Heading2"/>
      </w:pPr>
      <w:r>
        <w:rPr>
          <w:rFonts w:ascii="Times New Roman" w:hAnsi="Times New Roman"/>
        </w:rPr>
        <w:t>2. Phase 1 — Sofortmaßnahmen (bis 30.06.2026)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WCAG SC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Aufwand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Fokus-CSS wiederherstellen (</w:t>
            </w:r>
            <w:r>
              <w:rPr>
                <w:rFonts w:ascii="Times New Roman" w:hAnsi="Times New Roman"/>
                <w:sz w:val="20"/>
              </w:rPr>
              <w:t>:focus-visible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2.4.7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Implementiert 20.04.2026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Skip-Link Hauptinhalt einfügen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Implementiert 20.04.2026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Schriftfarbe Fließtext auf #595959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1.4.3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Implementiert 25.04.2026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Schriftfarbe Navigation auf #5a5a5a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1.4.3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Implementiert 25.04.2026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Erklärung zur Barrierefreiheit veröffentlichen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19 BFSG-DV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 06.04.2026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Feedback-E-Mail einrichten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16 BFSG-DV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 06.04.2026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P1-07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PDF H/W 2024 und FS 2025 offline nehmen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38 BFSG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Geplant 01.05.2026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Phase 2 — Tiefensanierung (bis 31.08.2026)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WCAG SC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Aufwand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Dienstleister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&lt;div role="button"&gt;</w:t>
            </w:r>
            <w:r>
              <w:rPr>
                <w:rFonts w:ascii="Times New Roman" w:hAnsi="Times New Roman"/>
                <w:sz w:val="20"/>
              </w:rPr>
              <w:t xml:space="preserve"> auf </w:t>
            </w:r>
            <w:r>
              <w:rPr>
                <w:rFonts w:ascii="Times New Roman" w:hAnsi="Times New Roman"/>
                <w:sz w:val="20"/>
              </w:rPr>
              <w:t>&lt;button&gt;</w:t>
            </w:r>
            <w:r>
              <w:rPr>
                <w:rFonts w:ascii="Times New Roman" w:hAnsi="Times New Roman"/>
                <w:sz w:val="20"/>
              </w:rPr>
              <w:t xml:space="preserve"> umstellen (ca. 1.800 Instanzen)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4.1.2, 2.1.1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40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Lavendelhaus / intern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ARIA-Labels für Icon-Buttons (Warenkorb, Suche, Konto)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4.1.2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HTML5-Landmark-Elemente (</w:t>
            </w:r>
            <w:r>
              <w:rPr>
                <w:rFonts w:ascii="Times New Roman" w:hAnsi="Times New Roman"/>
                <w:sz w:val="20"/>
              </w:rPr>
              <w:t>&lt;main&gt;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&lt;nav&gt;</w:t>
            </w:r>
            <w:r>
              <w:rPr>
                <w:rFonts w:ascii="Times New Roman" w:hAnsi="Times New Roman"/>
                <w:sz w:val="20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&lt;header&gt;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1.3.1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Lavendelhaus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aria-live</w:t>
            </w:r>
            <w:r>
              <w:rPr>
                <w:rFonts w:ascii="Times New Roman" w:hAnsi="Times New Roman"/>
                <w:sz w:val="20"/>
              </w:rPr>
              <w:t>-Regionen für dynamische Inhalte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4.1.3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Alt-Texte für 2.317 Produktbilder (Bulk + KI-gestützt)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extern ca. 3.000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Spezialagentur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Heading-Hierarchie korrigieren (H1 auf Kategorieseiten)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1.3.1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Formular-Labels und Fehlermeldungen ARIA-konform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3.3.1, 3.3.2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PDF H/W 2025 PDF/UA-konform überarbeiten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WCAG 2.1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 h extern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PDF-Dienstleister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P2-09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Mobile View Accessibility (Hamburger-Menü)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2.1.1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Lavendelhaus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Phase 3 — Audit und Zertifizierung (bis 30.09.2026)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Dienstleister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P3-01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Re-Audit WCAG 2.1 AA (automatisiert + manuell)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AccessCheck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P3-02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Screenreader-Abnahmetest (NVDA, VoiceOver)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AccessCheck GmbH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P3-03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Auditbericht als Grundlage für aktualisierte Erklärung zur Barrierefreiheit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P3-04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Vorlage Abschlussbericht an MüNI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P3-05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Vorlage Compliance-Nachweis an LG Hannover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Zeitplan (Gantt-Übersicht)</w:t>
      </w:r>
    </w:p>
    <w:p>
      <w:pPr>
        <w:jc w:val="left"/>
      </w:pPr>
      <w:r>
        <w:t>```</w:t>
      </w:r>
    </w:p>
    <w:p>
      <w:pPr>
        <w:jc w:val="left"/>
      </w:pPr>
      <w:r>
        <w:t>April 2026:  [P1-01 ✓][P1-02 ✓][P1-03 ✓][P1-04 ✓][P1-05 ✓][P1-06 ✓]</w:t>
      </w:r>
    </w:p>
    <w:p>
      <w:pPr>
        <w:jc w:val="left"/>
      </w:pPr>
      <w:r>
        <w:t>Mai 2026:    [P1-07][P2-05 Start]</w:t>
      </w:r>
    </w:p>
    <w:p>
      <w:pPr>
        <w:jc w:val="left"/>
      </w:pPr>
      <w:r>
        <w:t>Juni 2026:   [P2-01..P2-04, P2-06, P2-07][P2-08 Start]</w:t>
      </w:r>
    </w:p>
    <w:p>
      <w:pPr>
        <w:jc w:val="left"/>
      </w:pPr>
      <w:r>
        <w:t>Juli 2026:   [P2-09][P2-08 abschl.][P2-05 abschl.]</w:t>
      </w:r>
    </w:p>
    <w:p>
      <w:pPr>
        <w:jc w:val="left"/>
      </w:pPr>
      <w:r>
        <w:t>August 2026: [P3-01 Re-Audit][P3-02 Screenreader]</w:t>
      </w:r>
    </w:p>
    <w:p>
      <w:pPr>
        <w:jc w:val="left"/>
      </w:pPr>
      <w:r>
        <w:t>September:   [P3-03..P3-05 Abschluss]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6. Ressourcen und Verantwortlichkeit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Interner Aufwand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Externer Aufwand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Kostenschätzung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 1.300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84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 ca. 20.400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9.500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 ca. 11.500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117 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21.500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33.200 EUR</w:t>
            </w:r>
          </w:p>
        </w:tc>
      </w:tr>
    </w:tbl>
    <w:p/>
    <w:p>
      <w:pPr>
        <w:jc w:val="left"/>
      </w:pPr>
      <w:r>
        <w:rPr>
          <w:i/>
        </w:rPr>
        <w:t>Die Roadmap ist Anlage zur Stellungnahme an MüNI (02.05.2026) und wird dem LG Hannover als Anlage zur Klageerwiderung vorgelegt.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AccessCheck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AccessCheck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