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Erstgespräch</w:t>
      </w:r>
    </w:p>
    <w:p>
      <w:pPr>
        <w:jc w:val="left"/>
      </w:pPr>
      <w:r>
        <w:rPr>
          <w:b/>
        </w:rPr>
        <w:t>Datum:</w:t>
      </w:r>
      <w:r>
        <w:t xml:space="preserve"> 12.05.2026</w:t>
      </w:r>
    </w:p>
    <w:p>
      <w:pPr>
        <w:jc w:val="left"/>
      </w:pPr>
      <w:r>
        <w:rPr>
          <w:b/>
        </w:rPr>
        <w:t>Mandantin:</w:t>
      </w:r>
      <w:r>
        <w:t xml:space="preserve"> Klara Windmöller, Lübeck</w:t>
      </w:r>
    </w:p>
    <w:p>
      <w:pPr>
        <w:jc w:val="left"/>
      </w:pPr>
      <w:r>
        <w:rPr>
          <w:b/>
        </w:rPr>
        <w:t>Gegner:</w:t>
      </w:r>
      <w:r>
        <w:t xml:space="preserve"> Ofenhaus Backstein GmbH / Monteur Hinnerk Brandt</w:t>
      </w:r>
    </w:p>
    <w:p>
      <w:pPr>
        <w:jc w:val="left"/>
      </w:pPr>
      <w:r>
        <w:t>Klara Windmöller beauftragte im Oktober 2025 die Lieferung und Montage eines wasserführenden Holzofens. Das Angebot trennt Material, Lieferung und Montage nur in einer Anlage. Nach dem ersten Betrieb kam es zu Rauchentwicklung, später zu einem Wasseraustritt an der Rücklaufleitung. Nachbarin Adelheid Krumm ließ über einen Schlüsseldienst die Kellertür öffnen und stellte die Umwälzpumpe ab. Zwei Wochen später entstand ein Brandschaden im Bereich des Wanddurchbruchs.</w:t>
      </w:r>
    </w:p>
    <w:p>
      <w:pPr>
        <w:jc w:val="left"/>
      </w:pPr>
      <w:r>
        <w:t>Die Mandantin hat 8.900 EUR gezahlt, verweigert aber die Schlussrate von 3.400 EUR. Das Ofenhaus beruft sich auf Abnahme. Die Unterschrift unter dem Montageprotokoll könnte von der Mandantin stammen, sie sagt aber, sie habe nur den Empfang der Bedienungsanleitung quittiert.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Ofenhaus Backstein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Ofenhaus Backstein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