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Bürgschaft Bankhaus Nordtor eG</w:t>
      </w:r>
    </w:p>
    <w:p>
      <w:pPr>
        <w:jc w:val="left"/>
      </w:pPr>
      <w:r>
        <w:rPr>
          <w:b/>
        </w:rPr>
        <w:t>Datum:</w:t>
      </w:r>
      <w:r>
        <w:t xml:space="preserve"> 20.10.2025</w:t>
      </w:r>
    </w:p>
    <w:p>
      <w:pPr>
        <w:jc w:val="left"/>
      </w:pPr>
      <w:r>
        <w:rPr>
          <w:b/>
        </w:rPr>
        <w:t>Bürgin:</w:t>
      </w:r>
      <w:r>
        <w:t xml:space="preserve"> Bankhaus Nordtor eG</w:t>
      </w:r>
    </w:p>
    <w:p>
      <w:pPr>
        <w:jc w:val="left"/>
      </w:pPr>
      <w:r>
        <w:rPr>
          <w:b/>
        </w:rPr>
        <w:t>Gläubigerin:</w:t>
      </w:r>
      <w:r>
        <w:t xml:space="preserve"> Ofenhaus Backstein GmbH</w:t>
      </w:r>
    </w:p>
    <w:p>
      <w:pPr>
        <w:jc w:val="left"/>
      </w:pPr>
      <w:r>
        <w:rPr>
          <w:b/>
        </w:rPr>
        <w:t>Hauptschuldnerin:</w:t>
      </w:r>
      <w:r>
        <w:t xml:space="preserve"> Klara Windmöller</w:t>
      </w:r>
    </w:p>
    <w:p>
      <w:pPr>
        <w:jc w:val="left"/>
      </w:pPr>
      <w:r>
        <w:t>Die Bank verbürgt sich bis zu einem Höchstbetrag von 4.000 EUR für die Schlussrate aus dem Vertrag Nr. 25-1188. Die Bürgschaft ist als selbstschuldnerisch bezeichnet. Der Sicherungszweck nennt „Lieferung Holzofen Aquaflamm und Montage gemäß Angebot vom 14.10.2025“.</w:t>
      </w:r>
    </w:p>
    <w:p>
      <w:pPr>
        <w:jc w:val="left"/>
      </w:pPr>
      <w:r>
        <w:t>Unterschrift der Bank vorhanden. Unklar ist, ob die Mandantin eine gesonderte Bürgschaftsprovision gezahlt hat und ob die Bank bei späteren Nachträgen einbezogen wurde.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Ofenhaus Backstein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Ofenhaus Backstein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