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Klageentwurf Ofenhaus — Schlussrate</w:t>
      </w:r>
    </w:p>
    <w:p>
      <w:pPr>
        <w:jc w:val="left"/>
      </w:pPr>
      <w:r>
        <w:rPr>
          <w:b/>
        </w:rPr>
        <w:t>An das Landgericht Lübeck</w:t>
      </w:r>
    </w:p>
    <w:p>
      <w:pPr>
        <w:pStyle w:val="Heading2"/>
      </w:pPr>
      <w:r>
        <w:rPr>
          <w:rFonts w:ascii="Times New Roman" w:hAnsi="Times New Roman"/>
        </w:rPr>
        <w:t>Antrag</w:t>
      </w:r>
    </w:p>
    <w:p>
      <w:pPr>
        <w:jc w:val="left"/>
      </w:pPr>
      <w:r>
        <w:t>Die Beklagte wird verurteilt, an die Klägerin 3.400,00 EUR nebst Zinsen zu zahlen.</w:t>
      </w:r>
    </w:p>
    <w:p>
      <w:pPr>
        <w:pStyle w:val="Heading2"/>
      </w:pPr>
      <w:r>
        <w:rPr>
          <w:rFonts w:ascii="Times New Roman" w:hAnsi="Times New Roman"/>
        </w:rPr>
        <w:t>Sachverhalt aus Sicht Ofenhaus</w:t>
      </w:r>
    </w:p>
    <w:p>
      <w:pPr>
        <w:jc w:val="left"/>
      </w:pPr>
      <w:r>
        <w:t>Die Klägerin lieferte und montierte den Ofen vollständig. Die Beklagte nahm die Leistung am 21.11.2025 ab. Die behaupteten Mängel seien erst nach unsachgemäßem Betrieb und Eingriffen Dritter aufgetreten. Die Schlussrate ist fällig. Hilfsweise nimmt die Klägerin die Bankhaus Nordtor eG aus Bürgschaft in Anspruch.</w:t>
      </w:r>
    </w:p>
    <w:p>
      <w:pPr>
        <w:pStyle w:val="Heading2"/>
      </w:pPr>
      <w:r>
        <w:rPr>
          <w:rFonts w:ascii="Times New Roman" w:hAnsi="Times New Roman"/>
        </w:rPr>
        <w:t>Angriffspunkte für Verteidigung</w:t>
      </w:r>
    </w:p>
    <w:p>
      <w:pPr>
        <w:pStyle w:val="ListBullet"/>
      </w:pPr>
      <w:r>
        <w:t>Abnahmeerklärung unklar.</w:t>
      </w:r>
    </w:p>
    <w:p>
      <w:pPr>
        <w:pStyle w:val="ListBullet"/>
      </w:pPr>
      <w:r>
        <w:t>AGB-Haftungsbeschränkung zu weit.</w:t>
      </w:r>
    </w:p>
    <w:p>
      <w:pPr>
        <w:pStyle w:val="ListBullet"/>
      </w:pPr>
      <w:r>
        <w:t>Mangelsymptome traten früh auf.</w:t>
      </w:r>
    </w:p>
    <w:p>
      <w:pPr>
        <w:pStyle w:val="ListBullet"/>
      </w:pPr>
      <w:r>
        <w:t>Brandursache offen.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Lübeck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Lübeck</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