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08 — D&amp;O-Versicherung: Sachverhalt und Deckungsstreit</w:t>
      </w:r>
    </w:p>
    <w:p>
      <w:pPr>
        <w:jc w:val="left"/>
      </w:pPr>
      <w:r>
        <w:rPr>
          <w:b/>
        </w:rPr>
        <w:t>Verfahren:</w:t>
      </w:r>
      <w:r>
        <w:t xml:space="preserve"> LG Köln 26 O 144/26</w:t>
      </w:r>
    </w:p>
    <w:p>
      <w:pPr>
        <w:jc w:val="left"/>
      </w:pPr>
      <w:r>
        <w:rPr>
          <w:b/>
        </w:rPr>
        <w:t>Versicherer:</w:t>
      </w:r>
      <w:r>
        <w:t xml:space="preserve"> ManagerSchutz AG, Colonia-Allee 20, 51067 Köln</w:t>
      </w:r>
    </w:p>
    <w:p>
      <w:pPr>
        <w:jc w:val="left"/>
      </w:pPr>
      <w:r>
        <w:rPr>
          <w:b/>
        </w:rPr>
        <w:t>Versicherungsnehmerin:</w:t>
      </w:r>
      <w:r>
        <w:t xml:space="preserve"> Vogelweide+Co Demenz-WG GmbH (Tochtergesellschaft St.-Antonius-Heim GmbH)</w:t>
      </w:r>
    </w:p>
    <w:p>
      <w:pPr>
        <w:jc w:val="left"/>
      </w:pPr>
      <w:r>
        <w:rPr>
          <w:b/>
        </w:rPr>
        <w:t>Versicherte Person:</w:t>
      </w:r>
      <w:r>
        <w:t xml:space="preserve"> Marion Vogelweide (Geschäftsführerin 2018–2023)</w:t>
      </w:r>
    </w:p>
    <w:p>
      <w:pPr>
        <w:jc w:val="left"/>
      </w:pPr>
      <w:r>
        <w:rPr>
          <w:b/>
        </w:rPr>
        <w:t>D&amp;O-Polizze:</w:t>
      </w:r>
      <w:r>
        <w:t xml:space="preserve"> DMO-2018-WG-5510</w:t>
      </w:r>
    </w:p>
    <w:p/>
    <w:p>
      <w:pPr>
        <w:pStyle w:val="Heading2"/>
      </w:pPr>
      <w:r>
        <w:rPr>
          <w:rFonts w:ascii="Times New Roman" w:hAnsi="Times New Roman"/>
        </w:rPr>
        <w:t>Hintergrund</w:t>
      </w:r>
    </w:p>
    <w:p>
      <w:pPr>
        <w:jc w:val="left"/>
      </w:pPr>
      <w:r>
        <w:t>Die Vogelweide+Co Demenz-WG GmbH (HRB 22341 AG Aachen) wurde am 12.03.2018 als 100-%-Tochtergesellschaft der St.-Antonius-Heim GmbH gegründet. Marion Vogelweide übernahm die Geschäftsführung und hielt diese Stellung bis zur Abberufung am 30.09.2023. Die GmbH betrieb eine stationäre Wohngemeinschaft für Demenzkranke (12 Plätze) in Aachen-Laurensberg.</w:t>
      </w:r>
    </w:p>
    <w:p/>
    <w:p>
      <w:pPr>
        <w:pStyle w:val="Heading2"/>
      </w:pPr>
      <w:r>
        <w:rPr>
          <w:rFonts w:ascii="Times New Roman" w:hAnsi="Times New Roman"/>
        </w:rPr>
        <w:t>Schadensbegründung der St.-Antonius-Heim GmbH (Muttergesellschaft / Geschädigter)</w:t>
      </w:r>
    </w:p>
    <w:p>
      <w:pPr>
        <w:jc w:val="left"/>
      </w:pPr>
      <w:r>
        <w:t xml:space="preserve">Im März 2024 stellte die St.-Antonius-Heim GmbH als Gesellschafterin der Vogelweide+Co Demenz-WG GmbH Schadensersatzansprüche gegen Frau Vogelweide in Höhe von </w:t>
      </w:r>
      <w:r>
        <w:rPr>
          <w:b/>
        </w:rPr>
        <w:t>41.000 EUR</w:t>
      </w:r>
      <w:r>
        <w:t xml:space="preserve"> wegen angeblicher Pflichtverletzungen in ihrer Amtszeit als Geschäftsführerin:</w:t>
      </w:r>
    </w:p>
    <w:p>
      <w:pPr>
        <w:pStyle w:val="ListNumber"/>
      </w:pPr>
      <w:r>
        <w:rPr>
          <w:b/>
        </w:rPr>
        <w:t>Inventarverluste</w:t>
      </w:r>
      <w:r>
        <w:t>: Angeblicher Verlust von Pflegeequipment, Mobiliar und technischen Geräten im Wert von 41.000 EUR ohne ausreichende Dokumentation.</w:t>
      </w:r>
    </w:p>
    <w:p>
      <w:pPr>
        <w:pStyle w:val="ListNumber"/>
      </w:pPr>
      <w:r>
        <w:rPr>
          <w:b/>
        </w:rPr>
        <w:t>Ransomware-Zahlung 2022</w:t>
      </w:r>
      <w:r>
        <w:t>: Zahlung von 18.000 EUR Lösegeld in Kryptowährung ohne Einholung von Gesellschafterbeschluss oder Hinzuziehung eines Rechtsbeistands.</w:t>
      </w:r>
    </w:p>
    <w:p/>
    <w:p>
      <w:pPr>
        <w:pStyle w:val="Heading2"/>
      </w:pPr>
      <w:r>
        <w:rPr>
          <w:rFonts w:ascii="Times New Roman" w:hAnsi="Times New Roman"/>
        </w:rPr>
        <w:t>D&amp;O-Deckungsablehnung ManagerSchutz AG</w:t>
      </w:r>
    </w:p>
    <w:p>
      <w:pPr>
        <w:jc w:val="left"/>
      </w:pPr>
      <w:r>
        <w:t>Die ManagerSchutz AG lehnte mit Schreiben vom 04.01.2026 die Übernahme der Verteidigung und Schadensdeckung für Frau Vogelweide aus folgenden Gründen ab:</w:t>
      </w:r>
    </w:p>
    <w:p>
      <w:pPr>
        <w:jc w:val="left"/>
      </w:pPr>
      <w:r>
        <w:rPr>
          <w:b/>
        </w:rPr>
        <w:t>Grund 1 — Eigenschadenklausel (§ 3 Abs. 2 DMO-AVB 2018)</w:t>
      </w:r>
      <w:r>
        <w:t>: Ein Teil des Schadens sei durch die Ransomware-Zahlung entstanden, die unmittelbar von der GmbH-Kasse bestritten wurde. Die ManagerSchutz AG argumentiert, dass die GmbH selbst Versicherungsnehmerin ist und daher kein gedeckter Drittschaden vorliege (Eigenschaden-Ausschluss).</w:t>
      </w:r>
    </w:p>
    <w:p>
      <w:pPr>
        <w:jc w:val="left"/>
      </w:pPr>
      <w:r>
        <w:rPr>
          <w:b/>
        </w:rPr>
        <w:t>Grund 2 — OFAC-Sanktionsklausel (§ 12 Abs. 5 DMO-AVB 2018)</w:t>
      </w:r>
      <w:r>
        <w:t>: Die Empfänger-Wallet der Lösegeldtransaktion sei auf der OFAC-SDN-Liste (Specially Designated Nationals) gelistet. Gemäß der Sanktionsklausel seien Versicherungsleistungen ausgeschlossen, soweit diese zur Umgehung oder Verletzung von Sanktionsvorschriften führen würden.</w:t>
      </w:r>
    </w:p>
    <w:p>
      <w:pPr>
        <w:jc w:val="left"/>
      </w:pPr>
      <w:r>
        <w:rPr>
          <w:b/>
        </w:rPr>
        <w:t>Grund 3 — Vorsatz (§ 103 VVG)</w:t>
      </w:r>
      <w:r>
        <w:t>: Die Lösegeldszahlung ohne Konsultation eines Rechtsbeistands und ohne Gesellschafterbeschluss stelle eine vorsätzliche Pflichtverletzung dar.</w:t>
      </w:r>
    </w:p>
    <w:p/>
    <w:p>
      <w:pPr>
        <w:pStyle w:val="Heading2"/>
      </w:pPr>
      <w:r>
        <w:rPr>
          <w:rFonts w:ascii="Times New Roman" w:hAnsi="Times New Roman"/>
        </w:rPr>
        <w:t>Rechtliche Einschätzung (Kanzlei Müller-Hauck)</w:t>
      </w:r>
    </w:p>
    <w:p>
      <w:pPr>
        <w:jc w:val="left"/>
      </w:pPr>
      <w:r>
        <w:rPr>
          <w:b/>
        </w:rPr>
        <w:t>Zu Grund 1</w:t>
      </w:r>
      <w:r>
        <w:t>: Die Eigenschadensausschlussklausel ist auf den Direktschaden der GmbH als Versicherungsnehmerin zugeschnitten, erfasst aber nicht Haftpflichtansprüche der Muttergesellschaft als Dritter. Sofern die Muttergesellschaft nicht Versicherungsnehmerin der D&amp;O-Polizze ist, liegt kein Eigenschaden vor.</w:t>
      </w:r>
    </w:p>
    <w:p>
      <w:pPr>
        <w:jc w:val="left"/>
      </w:pPr>
      <w:r>
        <w:rPr>
          <w:b/>
        </w:rPr>
        <w:t>Zu Grund 2</w:t>
      </w:r>
      <w:r>
        <w:t xml:space="preserve">: Die OFAC-Sanktionsklausel setzt voraus, dass die Versicherungsleistung selbst in die Transaktion mit dem sanktionierten Akteur einbezogen wird. Die hier in Frage stehende Deckung betrifft die </w:t>
      </w:r>
      <w:r>
        <w:rPr>
          <w:b/>
        </w:rPr>
        <w:t>Haftpflichtverteidigung</w:t>
      </w:r>
      <w:r>
        <w:t xml:space="preserve"> von Frau Vogelweide gegenüber der Muttergesellschaft — nicht die Lösegeldtransaktion selbst. Der zeitliche und kausale Zusammenhang fehlt. Vgl. auch: BGH IV ZR 145/19 (Sanktionsklauseln in Versicherungsverträgen, Auslegungsgrundsätze).</w:t>
      </w:r>
    </w:p>
    <w:p>
      <w:pPr>
        <w:jc w:val="left"/>
      </w:pPr>
      <w:r>
        <w:rPr>
          <w:b/>
        </w:rPr>
        <w:t>Zu Grund 3</w:t>
      </w:r>
      <w:r>
        <w:t>: Für den Vorsatzausschluss nach § 103 VVG muss der Versicherer nachweisen, dass Frau Vogelweide wusste und wollte, dass sie eine Vertragspflicht verletzt. Angesichts der Ausnahmesituation eines aktiven Ransomware-Angriffs auf Patientenakten einer Demenz-WG kann schwerlich vorsätzliche Pflichtverletzung angenommen werden — eher liegt ein Handeln im vermeintlich wohlverstandenen Interesse der GmbH vor (Notgeschäftsführung, vgl. §§ 43, 49 GmbHG).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ManagerSchutz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ManagerSchutz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Colonia-Allee 20, 51067 Köln · 26 O 144/26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