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10 — Lebensversicherung HDI: Rückkaufswert-Analyse</w:t>
      </w:r>
    </w:p>
    <w:p>
      <w:pPr>
        <w:jc w:val="left"/>
      </w:pPr>
      <w:r>
        <w:rPr>
          <w:b/>
        </w:rPr>
        <w:t>Vertragspartner:</w:t>
      </w:r>
      <w:r>
        <w:t xml:space="preserve"> Marion Vogelweide</w:t>
      </w:r>
    </w:p>
    <w:p>
      <w:pPr>
        <w:jc w:val="left"/>
      </w:pPr>
      <w:r>
        <w:rPr>
          <w:b/>
        </w:rPr>
        <w:t>Versicherer:</w:t>
      </w:r>
      <w:r>
        <w:t xml:space="preserve"> HDI Lebensversicherung AG, HDI-Platz 1, 30659 Hannover</w:t>
      </w:r>
    </w:p>
    <w:p>
      <w:pPr>
        <w:jc w:val="left"/>
      </w:pPr>
      <w:r>
        <w:rPr>
          <w:b/>
        </w:rPr>
        <w:t>Vertragsnummer:</w:t>
      </w:r>
      <w:r>
        <w:t xml:space="preserve"> KLV-2003-HD-88340</w:t>
      </w:r>
    </w:p>
    <w:p>
      <w:pPr>
        <w:jc w:val="left"/>
      </w:pPr>
      <w:r>
        <w:rPr>
          <w:b/>
        </w:rPr>
        <w:t>Vertragsbeginn:</w:t>
      </w:r>
      <w:r>
        <w:t xml:space="preserve"> 01.10.2003</w:t>
      </w:r>
    </w:p>
    <w:p>
      <w:pPr>
        <w:jc w:val="left"/>
      </w:pPr>
      <w:r>
        <w:rPr>
          <w:b/>
        </w:rPr>
        <w:t>Laufzeit:</w:t>
      </w:r>
      <w:r>
        <w:t xml:space="preserve"> 30 Jahre (geplantes Ende: 30.09.2033)</w:t>
      </w:r>
    </w:p>
    <w:p>
      <w:pPr>
        <w:jc w:val="left"/>
      </w:pPr>
      <w:r>
        <w:rPr>
          <w:b/>
        </w:rPr>
        <w:t>Versicherungssumme (bei Tod):</w:t>
      </w:r>
      <w:r>
        <w:t xml:space="preserve"> 90.000 EUR</w:t>
      </w:r>
    </w:p>
    <w:p>
      <w:pPr>
        <w:jc w:val="left"/>
      </w:pPr>
      <w:r>
        <w:rPr>
          <w:b/>
        </w:rPr>
        <w:t>Todesfallsumme mit Überschussbeteiligung (zuletzt mitgeteilt):</w:t>
      </w:r>
      <w:r>
        <w:t xml:space="preserve"> 104.200 EUR</w:t>
      </w:r>
    </w:p>
    <w:p>
      <w:pPr>
        <w:jc w:val="left"/>
      </w:pPr>
      <w:r>
        <w:rPr>
          <w:b/>
        </w:rPr>
        <w:t>Kapitaler Rückkaufswert (laut letzter Mitteilung HDI, Stand 01.01.2026):</w:t>
      </w:r>
      <w:r>
        <w:t xml:space="preserve"> 78.200 EUR</w:t>
      </w:r>
    </w:p>
    <w:p/>
    <w:p>
      <w:pPr>
        <w:pStyle w:val="Heading2"/>
      </w:pPr>
      <w:r>
        <w:rPr>
          <w:rFonts w:ascii="Times New Roman" w:hAnsi="Times New Roman"/>
        </w:rPr>
        <w:t>Hintergrund des Rückkaufswunschs</w:t>
      </w:r>
    </w:p>
    <w:p>
      <w:pPr>
        <w:jc w:val="left"/>
      </w:pPr>
      <w:r>
        <w:t>Frau Vogelweide benötigt angesichts ihrer Einkommenssituation (Krankengeld ab September 2025, kein weiteres Einkommen) liquide Mittel. Sie erwägt die vorzeitige Auflösung der HDI-Lebensversicherung, die seit 2003 bespart wird. Die Kanzlei wurde beauftragt zu prüfen, ob der angebotene Rückkaufswert von 78.200 EUR dem gesetzlichen und rechtsprechungsgemäßen Standard entspricht.</w:t>
      </w:r>
    </w:p>
    <w:p/>
    <w:p>
      <w:pPr>
        <w:pStyle w:val="Heading2"/>
      </w:pPr>
      <w:r>
        <w:rPr>
          <w:rFonts w:ascii="Times New Roman" w:hAnsi="Times New Roman"/>
        </w:rPr>
        <w:t>Rechtlicher Rahmen</w:t>
      </w:r>
    </w:p>
    <w:p>
      <w:pPr>
        <w:pStyle w:val="Heading3"/>
      </w:pPr>
      <w:r>
        <w:rPr>
          <w:rFonts w:ascii="Times New Roman" w:hAnsi="Times New Roman"/>
        </w:rPr>
        <w:t>BGH IV ZR 199/22 (Urt. v. 28.06.2023)</w:t>
      </w:r>
    </w:p>
    <w:p>
      <w:pPr>
        <w:jc w:val="left"/>
      </w:pPr>
      <w:r>
        <w:t>Der BGH hat mit dieser grundlegenden Entscheidung die Berechnung des Rückkaufswerts bei Kapital-Lebensversicherungen weiterentwickelt. Der BGH betonte, dass:</w:t>
      </w:r>
    </w:p>
    <w:p>
      <w:pPr>
        <w:pStyle w:val="ListNumber"/>
      </w:pPr>
      <w:r>
        <w:rPr>
          <w:b/>
        </w:rPr>
        <w:t>Stornoabzüge</w:t>
      </w:r>
      <w:r>
        <w:t xml:space="preserve"> nur in dem Maß zulässig sind, wie sie transparent in den AVB geregelt sind und der tatsächlich entstandene Stornoschaden des Versicherers nicht überschritten wird.</w:t>
      </w:r>
    </w:p>
    <w:p>
      <w:pPr>
        <w:pStyle w:val="ListNumber"/>
      </w:pPr>
      <w:r>
        <w:rPr>
          <w:b/>
        </w:rPr>
        <w:t>Zillmerung</w:t>
      </w:r>
      <w:r>
        <w:t xml:space="preserve"> (Vorabverrechnung von Abschlusskosten in den ersten Jahren) nicht dazu führen darf, dass der Rückkaufswert hinter dem Mindestschutzwert zurückbleibt.</w:t>
      </w:r>
    </w:p>
    <w:p>
      <w:pPr>
        <w:pStyle w:val="ListNumber"/>
      </w:pPr>
      <w:r>
        <w:t xml:space="preserve">Der Versicherungsnehmer Anspruch auf </w:t>
      </w:r>
      <w:r>
        <w:rPr>
          <w:b/>
        </w:rPr>
        <w:t>transparente Darlegung</w:t>
      </w:r>
      <w:r>
        <w:t xml:space="preserve"> der Berechnungsgrundlagen hat.</w:t>
      </w:r>
    </w:p>
    <w:p>
      <w:pPr>
        <w:pStyle w:val="Heading3"/>
      </w:pPr>
      <w:r>
        <w:rPr>
          <w:rFonts w:ascii="Times New Roman" w:hAnsi="Times New Roman"/>
        </w:rPr>
        <w:t>Mindeststandards nach BGH (Fortführung von BGH IV ZR 162/03 und IV ZR 201/03)</w:t>
      </w:r>
    </w:p>
    <w:p>
      <w:pPr>
        <w:jc w:val="left"/>
      </w:pPr>
      <w:r>
        <w:t>Der BGH hatte bereits 2005 entschieden (IV ZR 162/03 und IV ZR 201/03), dass Klauseln, die den Rückkaufswert auf null oder einen Symbol-Betrag in den ersten Jahren reduzieren, unwirksam sind. Ein Rückkaufswert muss mindestens 50 % der eingezahlten Prämien (nach Abzug des Risikoanteils) betragen.</w:t>
      </w:r>
    </w:p>
    <w:p/>
    <w:p>
      <w:pPr>
        <w:pStyle w:val="Heading2"/>
      </w:pPr>
      <w:r>
        <w:rPr>
          <w:rFonts w:ascii="Times New Roman" w:hAnsi="Times New Roman"/>
        </w:rPr>
        <w:t>Prüfung des HDI-Angebots</w:t>
      </w:r>
    </w:p>
    <w:p>
      <w:pPr>
        <w:jc w:val="left"/>
      </w:pPr>
      <w:r>
        <w:rPr>
          <w:b/>
        </w:rPr>
        <w:t>Eingezahlte Prämien (Schätzung):</w:t>
      </w:r>
      <w:r>
        <w:t xml:space="preserve"> 22 Jahre × 12 × 178 EUR ≈ 47.000 EUR</w:t>
      </w:r>
    </w:p>
    <w:p>
      <w:pPr>
        <w:jc w:val="left"/>
      </w:pPr>
      <w:r>
        <w:rPr>
          <w:b/>
        </w:rPr>
        <w:t>Rückkaufswert-Angebot:</w:t>
      </w:r>
      <w:r>
        <w:t xml:space="preserve"> 78.200 EUR</w:t>
      </w:r>
    </w:p>
    <w:p>
      <w:pPr>
        <w:jc w:val="left"/>
      </w:pPr>
      <w:r>
        <w:rPr>
          <w:b/>
        </w:rPr>
        <w:t>Verhältnis:</w:t>
      </w:r>
      <w:r>
        <w:t xml:space="preserve"> 166 % der eingezahlten Prämien — auf den ersten Blick akzeptabel.</w:t>
      </w:r>
    </w:p>
    <w:p>
      <w:pPr>
        <w:jc w:val="left"/>
      </w:pPr>
      <w:r>
        <w:rPr>
          <w:b/>
        </w:rPr>
        <w:t>Kritikpunkte:</w:t>
      </w:r>
    </w:p>
    <w:p>
      <w:pPr>
        <w:pStyle w:val="ListNumber"/>
      </w:pPr>
      <w:r>
        <w:rPr>
          <w:b/>
        </w:rPr>
        <w:t>Stornoabzug</w:t>
      </w:r>
      <w:r>
        <w:t>: HDI kündigt einen Stornoabzug von 3.200 EUR an (eingereicht mit dem Rückkaufswertangebot vom 15.01.2026). Dieser Abzug ist nur zulässig, wenn er vertraglich vereinbart und der tatsächliche Stornierungsschaden nachgewiesen ist. Laut BGH IV ZR 199/22 sind pauschale Stornoabzüge ohne Schadensnachveis unzulässig.</w:t>
      </w:r>
    </w:p>
    <w:p>
      <w:pPr>
        <w:pStyle w:val="ListNumber"/>
      </w:pPr>
      <w:r>
        <w:rPr>
          <w:b/>
        </w:rPr>
        <w:t>Überschussbeteiligung</w:t>
      </w:r>
      <w:r>
        <w:t>: Die Überschussbeteiligung ist laut Angebot HDI noch nicht vollständig in den Rückkaufswert eingerechnet. Gemäß § 153 VVG hat der VN Anspruch auf anteilige Überschussbeteiligung bei vorzeitiger Auflösung.</w:t>
      </w:r>
    </w:p>
    <w:p>
      <w:pPr>
        <w:pStyle w:val="ListNumber"/>
      </w:pPr>
      <w:r>
        <w:rPr>
          <w:b/>
        </w:rPr>
        <w:t>Rentenoption</w:t>
      </w:r>
      <w:r>
        <w:t>: HDI bietet alternativ eine lebenslange Rente von 198 EUR monatlich ab 60. Für eine 51-Jährige beträgt der Barwert dieser Rente bei einer Lebenserwartung von 85 Jahren und Zinsfuß 2 % ca. 56.800 EUR — mithin schlechter als der Einmalrückkauf. Diese Analyse wird in der XLSX-Tabelle (xlsx/02) detailliert.</w:t>
      </w:r>
    </w:p>
    <w:p/>
    <w:p>
      <w:pPr>
        <w:pStyle w:val="Heading2"/>
      </w:pPr>
      <w:r>
        <w:rPr>
          <w:rFonts w:ascii="Times New Roman" w:hAnsi="Times New Roman"/>
        </w:rPr>
        <w:t>Nächste Schritte</w:t>
      </w:r>
    </w:p>
    <w:p>
      <w:pPr>
        <w:pStyle w:val="ListBullet"/>
      </w:pPr>
      <w:r>
        <w:t>Anforderung vollständiger Rechenschaftslegung über Prämienverwendung und Kostenanteile (§ 153 VVG)</w:t>
      </w:r>
    </w:p>
    <w:p>
      <w:pPr>
        <w:pStyle w:val="ListBullet"/>
      </w:pPr>
      <w:r>
        <w:t>Prüfung der Zillmerungsklauseln in den HDI-AVB 2003</w:t>
      </w:r>
    </w:p>
    <w:p>
      <w:pPr>
        <w:pStyle w:val="ListBullet"/>
      </w:pPr>
      <w:r>
        <w:t>Vergleichsberechnung Einmalauszahlung vs. Rentenoption (vgl. xlsx/02)</w:t>
      </w:r>
    </w:p>
    <w:p>
      <w:pPr>
        <w:pStyle w:val="ListBullet"/>
      </w:pPr>
      <w:r>
        <w:t>Ggf. Ombudsmann-Verfahren oder Klage vor dem LG Hannover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HDI Lebensversicherung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HDI Lebensversicherung AG</w:t>
    </w:r>
  </w:p>
  <w:p>
    <w:pPr>
      <w:jc w:val="left"/>
      <w:pBdr>
        <w:bottom w:val="single" w:sz="6" w:space="2" w:color="2C5230"/>
      </w:pBdr>
    </w:pPr>
    <w:r>
      <w:rPr>
        <w:rFonts w:ascii="Times New Roman" w:hAnsi="Times New Roman"/>
        <w:color w:val="6B6B66"/>
        <w:sz w:val="16"/>
      </w:rPr>
      <w:t>HDI-Platz 1, 30659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