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12 — Regressabwehr gegenüber St.-Antonius-Heim GmbH (D&amp;O)</w:t>
      </w:r>
    </w:p>
    <w:p>
      <w:pPr>
        <w:jc w:val="left"/>
      </w:pPr>
      <w:r>
        <w:rPr>
          <w:b/>
        </w:rPr>
        <w:t>Verfahren:</w:t>
      </w:r>
      <w:r>
        <w:t xml:space="preserve"> LG Köln 26 O 144/26</w:t>
      </w:r>
    </w:p>
    <w:p>
      <w:pPr>
        <w:jc w:val="left"/>
      </w:pPr>
      <w:r>
        <w:rPr>
          <w:b/>
        </w:rPr>
        <w:t>Gegner:</w:t>
      </w:r>
      <w:r>
        <w:t xml:space="preserve"> St.-Antonius-Heim GmbH (Muttergesellschaft, Klägerin im Regressprozess)</w:t>
      </w:r>
    </w:p>
    <w:p>
      <w:pPr>
        <w:jc w:val="left"/>
      </w:pPr>
      <w:r>
        <w:rPr>
          <w:b/>
        </w:rPr>
        <w:t>Beklagte:</w:t>
      </w:r>
      <w:r>
        <w:t xml:space="preserve"> Marion Vogelweide (ehem. Geschäftsführerin Vogelweide+Co Demenz-WG GmbH)</w:t>
      </w:r>
    </w:p>
    <w:p/>
    <w:p>
      <w:pPr>
        <w:pStyle w:val="Heading2"/>
      </w:pPr>
      <w:r>
        <w:rPr>
          <w:rFonts w:ascii="Times New Roman" w:hAnsi="Times New Roman"/>
        </w:rPr>
        <w:t>I. Sachverhaltsdarstellung aus Sicht der Regressklägerin</w:t>
      </w:r>
    </w:p>
    <w:p>
      <w:pPr>
        <w:jc w:val="left"/>
      </w:pPr>
      <w:r>
        <w:t>Die St.-Antonius-Heim GmbH macht als Alleingesellschafterin der Vogelweide+Co Demenz-WG GmbH Schadensersatzansprüche nach § 43 GmbHG gegen Frau Vogelweide geltend. Sie behauptet:</w:t>
      </w:r>
    </w:p>
    <w:p>
      <w:pPr>
        <w:pStyle w:val="ListNumber"/>
      </w:pPr>
      <w:r>
        <w:t>Frau Vogelweide habe während ihrer Amtszeit als Geschäftsführerin (2018–2023) Inventar im Wert von 41.000 EUR ohne ausreichende Buchführung verloren lassen.</w:t>
      </w:r>
    </w:p>
    <w:p>
      <w:pPr>
        <w:pStyle w:val="ListNumber"/>
      </w:pPr>
      <w:r>
        <w:t>Frau Vogelweide habe ohne Gesellschafterbeschluss 18.000 EUR aus der GmbH-Kasse für die Ransomware-Lösegeldszahlung verwendet.</w:t>
      </w:r>
    </w:p>
    <w:p/>
    <w:p>
      <w:pPr>
        <w:pStyle w:val="Heading2"/>
      </w:pPr>
      <w:r>
        <w:rPr>
          <w:rFonts w:ascii="Times New Roman" w:hAnsi="Times New Roman"/>
        </w:rPr>
        <w:t>II. Rechtliche Abwehrstrategie</w:t>
      </w:r>
    </w:p>
    <w:p>
      <w:pPr>
        <w:pStyle w:val="Heading3"/>
      </w:pPr>
      <w:r>
        <w:rPr>
          <w:rFonts w:ascii="Times New Roman" w:hAnsi="Times New Roman"/>
        </w:rPr>
        <w:t>A. Zu den Inventarverlusten (41.000 EUR)</w:t>
      </w:r>
    </w:p>
    <w:p>
      <w:pPr>
        <w:jc w:val="left"/>
      </w:pPr>
      <w:r>
        <w:rPr>
          <w:b/>
        </w:rPr>
        <w:t>Business Judgment Rule (§ 43 GmbHG, analog § 93 AktG)</w:t>
      </w:r>
      <w:r>
        <w:t>: Ein Geschäftsführer handelt nicht pflichtwidrig, wenn er bei einer unternehmerischen Entscheidung vernünftigerweise annehmen durfte, zum Wohle der Gesellschaft zu handeln, und zwar auf der Grundlage angemessener Information (BGH II ZR 234/07, BGHZ 180, 9 — "ARAG/Garmenbeck"-Grundsätze im GmbH-Kontext).</w:t>
      </w:r>
    </w:p>
    <w:p>
      <w:pPr>
        <w:jc w:val="left"/>
      </w:pPr>
      <w:r>
        <w:t>Die behaupteten Inventarverluste müssen im Einzelnen belegt werden. Die bloße Differenz zwischen dem Inventarverzeichnis bei Amtsantritt und dem bei Amtsübergabe ist nicht ausreichend — es muss eine kausale Pflichtverletzung von Frau Vogelweide nachgewiesen werden. Normale Abnutzung, reguläre Aussonderung und pandemiebedingter Mehrverbrauch (2020–2022) können die Differenz vollständig erklären.</w:t>
      </w:r>
    </w:p>
    <w:p>
      <w:pPr>
        <w:jc w:val="left"/>
      </w:pPr>
      <w:r>
        <w:t>Frau Vogelweide hat während ihrer Amtszeit jährliche Inventarisierungen veranlasst (Protokolle vorhanden). Die letzte Inventur von Oktober 2023 wurde von der Muttergesellschaft selbst abgesegnet.</w:t>
      </w:r>
    </w:p>
    <w:p>
      <w:pPr>
        <w:jc w:val="left"/>
      </w:pPr>
      <w:r>
        <w:rPr>
          <w:b/>
        </w:rPr>
        <w:t>Mitverschulden Muttergesellschaft (§ 254 BGB)</w:t>
      </w:r>
      <w:r>
        <w:t>: Die St.-Antonius-Heim GmbH als Alleingesellschafterin hat als Organ der Gesellschaft Einfluss auf die Geschäftsführung nehmen können und dies nicht getan. Eine Mitverantwortung für fehlerhafte IT-Infrastruktur (fehlende Backups, fehlende IT-Richtlinien) ist gegeben.</w:t>
      </w:r>
    </w:p>
    <w:p>
      <w:pPr>
        <w:pStyle w:val="Heading3"/>
      </w:pPr>
      <w:r>
        <w:rPr>
          <w:rFonts w:ascii="Times New Roman" w:hAnsi="Times New Roman"/>
        </w:rPr>
        <w:t>B. Zur Ransomware-Zahlung (18.000 EUR)</w:t>
      </w:r>
    </w:p>
    <w:p>
      <w:pPr>
        <w:jc w:val="left"/>
      </w:pPr>
      <w:r>
        <w:rPr>
          <w:b/>
        </w:rPr>
        <w:t>Notgeschäftsführung (§§ 43 Abs. 1, 49 GmbHG)</w:t>
      </w:r>
      <w:r>
        <w:t>: Die Zahlung erfolgte in einer akuten Notlage außerhalb der Geschäftszeiten. § 49 GmbHG verpflichtet den Geschäftsführer zur Einberufung der Gesellschafterversammlung bei wichtigen Angelegenheiten — in einer 72-Stunden-Zahlungsfrist mit unmittelbarer Gefährdung von 12 Pflegebedürftigen war eine ordentliche Einberufung jedoch unmöglich.</w:t>
      </w:r>
    </w:p>
    <w:p>
      <w:pPr>
        <w:jc w:val="left"/>
      </w:pPr>
      <w:r>
        <w:t>Zudem war zum Zeitpunkt der Entscheidung keine Gesellschafterbeschluss-Pflicht erkennbar, da die Lösegeldszahlung unter der Schwelle lag, die nach dem Gesellschaftsvertrag der GmbH eine Zustimmung der Gesellschafterin erfordert hätte (Schwellenwert laut Gesellschaftsvertrag: 25.000 EUR Einzeltransaktion).</w:t>
      </w:r>
    </w:p>
    <w:p>
      <w:pPr>
        <w:jc w:val="left"/>
      </w:pPr>
      <w:r>
        <w:rPr>
          <w:b/>
        </w:rPr>
        <w:t>Schadensminderungspflicht (§ 254 BGB)</w:t>
      </w:r>
      <w:r>
        <w:t>: Eine Unterlassung der Lösegeldszahlung hätte möglicherweise zu weit höheren Schäden geführt (DSGVO-Bußgelder nach Art. 83 Abs. 4 DSGVO, Schadensersatzansprüche der Bewohner, Betriebsunterbrechung).</w:t>
      </w:r>
    </w:p>
    <w:p/>
    <w:p>
      <w:pPr>
        <w:pStyle w:val="Heading2"/>
      </w:pPr>
      <w:r>
        <w:rPr>
          <w:rFonts w:ascii="Times New Roman" w:hAnsi="Times New Roman"/>
        </w:rPr>
        <w:t>III. Gegenansprüche von Frau Vogelweide</w:t>
      </w:r>
    </w:p>
    <w:p>
      <w:pPr>
        <w:jc w:val="left"/>
      </w:pPr>
      <w:r>
        <w:t>Frau Vogelweide hat möglicherweise Gegenansprüche gegen die St.-Antonius-Heim GmbH wegen:</w:t>
      </w:r>
    </w:p>
    <w:p>
      <w:pPr>
        <w:pStyle w:val="ListBullet"/>
      </w:pPr>
      <w:r>
        <w:rPr>
          <w:b/>
        </w:rPr>
        <w:t>Ausstehender Gehaltszahlungen</w:t>
      </w:r>
      <w:r>
        <w:t xml:space="preserve"> (ggf. strittig)</w:t>
      </w:r>
    </w:p>
    <w:p>
      <w:pPr>
        <w:pStyle w:val="ListBullet"/>
      </w:pPr>
      <w:r>
        <w:rPr>
          <w:b/>
        </w:rPr>
        <w:t>Aufwendungsersatz für privat verauslagte IT-Notfallmaßnahmen</w:t>
      </w:r>
      <w:r>
        <w:t xml:space="preserve"> nach dem Ransomware-Angriff</w:t>
      </w:r>
    </w:p>
    <w:p>
      <w:pPr>
        <w:pStyle w:val="ListBullet"/>
      </w:pPr>
      <w:r>
        <w:rPr>
          <w:b/>
        </w:rPr>
        <w:t>Schadensersatz wegen Verleumdung</w:t>
      </w:r>
      <w:r>
        <w:t xml:space="preserve"> durch interne Kommunikation der Muttergesellschaft über die Vorgänge (§ 824 BGB)</w:t>
      </w:r>
    </w:p>
    <w:p>
      <w:pPr>
        <w:jc w:val="left"/>
      </w:pPr>
      <w:r>
        <w:t>Diese Gegenansprüche werden als Aufrechnungsmasse in den D&amp;O-Prozess eingebracht.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St.-Antonius-Heim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St.-Antonius-Heim GmbH</w:t>
    </w:r>
  </w:p>
  <w:p>
    <w:pPr>
      <w:jc w:val="left"/>
      <w:pBdr>
        <w:bottom w:val="single" w:sz="6" w:space="2" w:color="11555F"/>
      </w:pBdr>
    </w:pPr>
    <w:r>
      <w:rPr>
        <w:rFonts w:ascii="Times New Roman" w:hAnsi="Times New Roman"/>
        <w:color w:val="6B6B66"/>
        <w:sz w:val="16"/>
      </w:rPr>
      <w:t>Unternehmen · 26 O 144/26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