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13 — Verfahrensstand-Übersicht (Stand: 30.05.2026)</w:t>
      </w:r>
    </w:p>
    <w:p>
      <w:pPr>
        <w:jc w:val="left"/>
      </w:pPr>
      <w:r>
        <w:rPr>
          <w:b/>
        </w:rPr>
        <w:t>Kanzlei Müller-Hauck Versicherungsrecht</w:t>
      </w:r>
    </w:p>
    <w:p>
      <w:pPr>
        <w:jc w:val="left"/>
      </w:pPr>
      <w:r>
        <w:rPr>
          <w:b/>
        </w:rPr>
        <w:t>Aktualisiert:</w:t>
      </w:r>
      <w:r>
        <w:t xml:space="preserve"> 30.05.2026</w:t>
      </w:r>
    </w:p>
    <w:p/>
    <w:p>
      <w:pPr>
        <w:pStyle w:val="Heading2"/>
      </w:pPr>
      <w:r>
        <w:rPr>
          <w:rFonts w:ascii="Times New Roman" w:hAnsi="Times New Roman"/>
        </w:rPr>
        <w:t>Verfahren 1: BU-Klage (LG Aachen 5 O 102/26)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02.09.2025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Eintritt BU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abgeschlossen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15.11.2025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BU-Antrag an DBV-Winterthur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14.02.2026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Ablehnungsschreiben DBV-Winterthur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 Dr. Müller-Hauck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Deckungsanfrage an DBV-Winterthur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16.03.2026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LG Aachen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Zustellung an DBV-Winterthur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DBV-Winterthur erwartet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terminiert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Erörterungstermin / Beweisbeschluss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Beweisbeschluss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Sachverständigengutachten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</w:tbl>
    <w:p>
      <w:pPr>
        <w:jc w:val="left"/>
      </w:pPr>
      <w:r>
        <w:rPr>
          <w:b/>
        </w:rPr>
        <w:t>Streitwert:</w:t>
      </w:r>
      <w:r>
        <w:t xml:space="preserve"> 133.200 EUR</w:t>
      </w:r>
    </w:p>
    <w:p>
      <w:pPr>
        <w:jc w:val="left"/>
      </w:pPr>
      <w:r>
        <w:rPr>
          <w:b/>
        </w:rPr>
        <w:t>Zuständiges Gericht:</w:t>
      </w:r>
      <w:r>
        <w:t xml:space="preserve"> LG Aachen, 5. Zivilkammer</w:t>
      </w:r>
    </w:p>
    <w:p>
      <w:pPr>
        <w:jc w:val="left"/>
      </w:pPr>
      <w:r>
        <w:rPr>
          <w:b/>
        </w:rPr>
        <w:t>Gegnerischer Anwalt:</w:t>
      </w:r>
      <w:r>
        <w:t xml:space="preserve"> RA Stephan Konrad, Frankfurt (Bevollmächtigter DBV-Winterthur)</w:t>
      </w:r>
    </w:p>
    <w:p/>
    <w:p>
      <w:pPr>
        <w:pStyle w:val="Heading2"/>
      </w:pPr>
      <w:r>
        <w:rPr>
          <w:rFonts w:ascii="Times New Roman" w:hAnsi="Times New Roman"/>
        </w:rPr>
        <w:t>Verfahren 2: D&amp;O-Deckungsklage (LG Köln 26 O 144/26)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Schadensersatzanspruch St.-Antonius-Heim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04.01.2026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Deckungsablehnung ManagerSchutz 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Mandat Dr. Müller-Hauck für D&amp;O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Klageschrift LG Köln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Klageerwiderung ManagerSchutz AG erwartet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noch nicht terminiert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Mündliche 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ausstehend</w:t>
            </w:r>
          </w:p>
        </w:tc>
      </w:tr>
    </w:tbl>
    <w:p>
      <w:pPr>
        <w:jc w:val="left"/>
      </w:pPr>
      <w:r>
        <w:rPr>
          <w:b/>
        </w:rPr>
        <w:t>Streitwert:</w:t>
      </w:r>
      <w:r>
        <w:t xml:space="preserve"> 59.000 EUR (41.000 + 18.000 EUR)</w:t>
      </w:r>
    </w:p>
    <w:p>
      <w:pPr>
        <w:jc w:val="left"/>
      </w:pPr>
      <w:r>
        <w:rPr>
          <w:b/>
        </w:rPr>
        <w:t>Zuständiges Gericht:</w:t>
      </w:r>
      <w:r>
        <w:t xml:space="preserve"> LG Köln, 26. Zivilkammer (Versicherungsrecht)</w:t>
      </w:r>
    </w:p>
    <w:p/>
    <w:p>
      <w:pPr>
        <w:pStyle w:val="Heading2"/>
      </w:pPr>
      <w:r>
        <w:rPr>
          <w:rFonts w:ascii="Times New Roman" w:hAnsi="Times New Roman"/>
        </w:rPr>
        <w:t>Verfahren 3: Ombudsmann (Vers-Omb 38211/26)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20.02.2026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Schlichtungsantrag eingereicht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25.02.2026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Eingangsbestätigung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18.03.2026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Einstellung wegen Rechtshängigkeit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 (abgeschlossen)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Sonstige Nebenverfahren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BGW BK-5101 Az. BGW-2025-BK-10924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ausstehend (geschätzter Abschluss Q4 2026)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HDI Rückkaufswert-Prüfung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 Bearbeitung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ARAG Kostendeckung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erteilt für alle Verfahren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Zuständiges Gericht: LG Aachen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Zuständiges Gericht: LG Aachen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5. Zivilkammer · 5 O 102/26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