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20 — Datenschutz und Ransomware: Meldepflichten 2022</w:t>
      </w:r>
    </w:p>
    <w:p>
      <w:pPr>
        <w:jc w:val="left"/>
      </w:pPr>
      <w:r>
        <w:rPr>
          <w:b/>
        </w:rPr>
        <w:t>Sachverhalt:</w:t>
      </w:r>
      <w:r>
        <w:t xml:space="preserve"> Ransomware-Angriff Vogelweide+Co Demenz-WG GmbH, November 2022</w:t>
      </w:r>
    </w:p>
    <w:p>
      <w:pPr>
        <w:jc w:val="left"/>
      </w:pPr>
      <w:r>
        <w:rPr>
          <w:b/>
        </w:rPr>
        <w:t>Relevanz:</w:t>
      </w:r>
      <w:r>
        <w:t xml:space="preserve"> Verteidigungsargument im D&amp;O-Prozess; Rechtfertigung der Lösegeldszahlung</w:t>
      </w:r>
    </w:p>
    <w:p/>
    <w:p>
      <w:pPr>
        <w:pStyle w:val="Heading2"/>
      </w:pPr>
      <w:r>
        <w:rPr>
          <w:rFonts w:ascii="Times New Roman" w:hAnsi="Times New Roman"/>
        </w:rPr>
        <w:t>I. Datenschutzrechtliche Ausgangslage</w:t>
      </w:r>
    </w:p>
    <w:p>
      <w:pPr>
        <w:jc w:val="left"/>
      </w:pPr>
      <w:r>
        <w:t>Die Vogelweide+Co Demenz-WG GmbH verarbeitete folgende besonders schützenswerte Daten im Sinne von Art. 9 DSGVO:</w:t>
      </w:r>
    </w:p>
    <w:p>
      <w:pPr>
        <w:pStyle w:val="ListBullet"/>
      </w:pPr>
      <w:r>
        <w:t>Vollständige Patientenakten von 12 Demenzkranken</w:t>
      </w:r>
    </w:p>
    <w:p>
      <w:pPr>
        <w:pStyle w:val="ListBullet"/>
      </w:pPr>
      <w:r>
        <w:t>Medikamentenpläne und Behandlungsverläufe</w:t>
      </w:r>
    </w:p>
    <w:p>
      <w:pPr>
        <w:pStyle w:val="ListBullet"/>
      </w:pPr>
      <w:r>
        <w:t>Pflegedokumentationen mit Angaben zu körperlichen und geistigen Beeinträchtigungen</w:t>
      </w:r>
    </w:p>
    <w:p>
      <w:pPr>
        <w:pStyle w:val="ListBullet"/>
      </w:pPr>
      <w:r>
        <w:t>Kontaktdaten von Angehörigen und gesetzlichen Betreuern</w:t>
      </w:r>
    </w:p>
    <w:p/>
    <w:p>
      <w:pPr>
        <w:pStyle w:val="Heading2"/>
      </w:pPr>
      <w:r>
        <w:rPr>
          <w:rFonts w:ascii="Times New Roman" w:hAnsi="Times New Roman"/>
        </w:rPr>
        <w:t>II. Meldepflichten nach DSGVO</w:t>
      </w:r>
    </w:p>
    <w:p>
      <w:pPr>
        <w:pStyle w:val="Heading3"/>
      </w:pPr>
      <w:r>
        <w:rPr>
          <w:rFonts w:ascii="Times New Roman" w:hAnsi="Times New Roman"/>
        </w:rPr>
        <w:t>Art. 33 DSGVO — Meldepflicht an Aufsichtsbehörde</w:t>
      </w:r>
    </w:p>
    <w:p>
      <w:pPr>
        <w:jc w:val="left"/>
      </w:pPr>
      <w:r>
        <w:t xml:space="preserve">Gemäß Art. 33 Abs. 1 DSGVO hat der Verantwortliche eine Datenpanne der zuständigen Aufsichtsbehörde binnen </w:t>
      </w:r>
      <w:r>
        <w:rPr>
          <w:b/>
        </w:rPr>
        <w:t>72 Stunden</w:t>
      </w:r>
      <w:r>
        <w:t xml:space="preserve"> nach Bekanntwerden zu melden, sofern die Panne voraussichtlich zu einem Risiko für die Rechte und Freiheiten natürlicher Personen führt. Eine Ransomware-Verschlüsselung von Gesundheitsdaten ist stets meldepflichtig.</w:t>
      </w:r>
    </w:p>
    <w:p>
      <w:pPr>
        <w:jc w:val="left"/>
      </w:pPr>
      <w:r>
        <w:rPr>
          <w:b/>
        </w:rPr>
        <w:t>Durchgeführt:</w:t>
      </w:r>
      <w:r>
        <w:t xml:space="preserve"> Frau Vogelweide meldete den Vorfall am </w:t>
      </w:r>
      <w:r>
        <w:rPr>
          <w:b/>
        </w:rPr>
        <w:t>16. November 2022</w:t>
      </w:r>
      <w:r>
        <w:t xml:space="preserve"> (48 Stunden nach Entdeckung) der Landesbeauftragten für Datenschutz und Informationsfreiheit NRW (LDI NRW). Az. LDI-2022-DS-48192.</w:t>
      </w:r>
    </w:p>
    <w:p>
      <w:pPr>
        <w:pStyle w:val="Heading3"/>
      </w:pPr>
      <w:r>
        <w:rPr>
          <w:rFonts w:ascii="Times New Roman" w:hAnsi="Times New Roman"/>
        </w:rPr>
        <w:t>Art. 34 DSGVO — Benachrichtigungspflicht gegenüber Betroffenen</w:t>
      </w:r>
    </w:p>
    <w:p>
      <w:pPr>
        <w:jc w:val="left"/>
      </w:pPr>
      <w:r>
        <w:t>Bei hohem Risiko für die Rechte und Freiheiten der Betroffenen ist auch eine direkte Benachrichtigung der Betroffenen (bzw. ihrer gesetzlichen Vertreter) erforderlich. Frau Vogelweide hat die Angehörigen aller 12 Bewohner informiert.</w:t>
      </w:r>
    </w:p>
    <w:p/>
    <w:p>
      <w:pPr>
        <w:pStyle w:val="Heading2"/>
      </w:pPr>
      <w:r>
        <w:rPr>
          <w:rFonts w:ascii="Times New Roman" w:hAnsi="Times New Roman"/>
        </w:rPr>
        <w:t>III. Bedeutung für die Lösegeldentscheidung</w:t>
      </w:r>
    </w:p>
    <w:p>
      <w:pPr>
        <w:jc w:val="left"/>
      </w:pPr>
      <w:r>
        <w:t xml:space="preserve">Die Meldepflicht nach Art. 33 DSGVO und die Benachrichtigungspflicht nach Art. 34 DSGVO belegen, dass Frau Vogelweide die Datenpanne nicht vertuschte, sondern regelkonform handelte. Die Lösegeldszahlung war eine zusätzliche Maßnahme zur </w:t>
      </w:r>
      <w:r>
        <w:rPr>
          <w:b/>
        </w:rPr>
        <w:t>Schadensminimierung</w:t>
      </w:r>
      <w:r>
        <w:t xml:space="preserve"> — die Entschlüsselung der Daten verhinderte die Veröffentlichung der Patientendaten im Darknet.</w:t>
      </w:r>
    </w:p>
    <w:p>
      <w:pPr>
        <w:jc w:val="left"/>
      </w:pPr>
      <w:r>
        <w:rPr>
          <w:b/>
        </w:rPr>
        <w:t>Argument gegen Vorsatz (§ 103 VVG):</w:t>
      </w:r>
      <w:r>
        <w:t xml:space="preserve"> Ein vorsätzlich handelnder Geschäftsführer hätte die Datenpanne nicht bei der Behörde gemeldet. Die transparente Meldung belegt das Gegenteil.</w:t>
      </w:r>
    </w:p>
    <w:p/>
    <w:p>
      <w:pPr>
        <w:pStyle w:val="Heading2"/>
      </w:pPr>
      <w:r>
        <w:rPr>
          <w:rFonts w:ascii="Times New Roman" w:hAnsi="Times New Roman"/>
        </w:rPr>
        <w:t>IV. Strafrechtliche Aspekte der Datenpanne</w:t>
      </w:r>
    </w:p>
    <w:p>
      <w:pPr>
        <w:pStyle w:val="Heading3"/>
      </w:pPr>
      <w:r>
        <w:rPr>
          <w:rFonts w:ascii="Times New Roman" w:hAnsi="Times New Roman"/>
        </w:rPr>
        <w:t>§ 203 StGB — Unbefugtes Offenbaren von Privatgeheimnissen</w:t>
      </w:r>
    </w:p>
    <w:p>
      <w:pPr>
        <w:jc w:val="left"/>
      </w:pPr>
      <w:r>
        <w:t>Im Rahmen des Ransomware-Angriffs wurden personenbezogene Gesundheitsdaten möglicherweise an Dritte übermittelt (durch die Angreifer). Frau Vogelweide trifft insoweit keine Verantwortung, da die Übermittlung durch Straftäter erfolgte. Ihre Pflicht war die schnellstmögliche Schadensabwendung.</w:t>
      </w:r>
    </w:p>
    <w:p/>
    <w:p>
      <w:pPr>
        <w:pStyle w:val="Heading2"/>
      </w:pPr>
      <w:r>
        <w:rPr>
          <w:rFonts w:ascii="Times New Roman" w:hAnsi="Times New Roman"/>
        </w:rPr>
        <w:t>V. Nachfolgeprüfung durch LDI NRW</w:t>
      </w:r>
    </w:p>
    <w:p>
      <w:pPr>
        <w:jc w:val="left"/>
      </w:pPr>
      <w:r>
        <w:t>Die LDI NRW hat das Verfahren nach sechsmonatiger Prüfung ohne Bußgeld eingestellt (Bescheid vom 18.05.2023). Begründung: Die Sicherheitslücke war durch den externen IT-Dienstleister verursacht worden, der keine regelmäßigen Backups konfiguriert hatte. Frau Vogelweide trifft an der technischen Schwachstelle kein Verschulden; sie hatte Datensicherungsmaßnahmen mehrfach beim Dienstleister angefragt (E-Mails Oktober und August 2022, vgl. eml/).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Co Demenz-WG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Co Demenz-WG GmbH</w:t>
    </w:r>
  </w:p>
  <w:p>
    <w:pPr>
      <w:jc w:val="left"/>
      <w:pBdr>
        <w:bottom w:val="single" w:sz="6" w:space="2" w:color="7B2D3B"/>
      </w:pBdr>
    </w:pPr>
    <w:r>
      <w:rPr>
        <w:rFonts w:ascii="Times New Roman" w:hAnsi="Times New Roman"/>
        <w:color w:val="6B6B66"/>
        <w:sz w:val="16"/>
      </w:rPr>
      <w:t>November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