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Frachtdiebstahl — iPad Pro Sendung / Allianz Marine &amp; Cargo</w:t>
      </w:r>
    </w:p>
    <w:p>
      <w:pPr>
        <w:jc w:val="left"/>
      </w:pPr>
      <w:r>
        <w:t>Akte: Diebstahlschaden Schwarmstedt Logistik GmbH / Allianz Marine (außergerichtlich)</w:t>
      </w:r>
    </w:p>
    <w:p>
      <w:pPr>
        <w:jc w:val="left"/>
      </w:pPr>
      <w:r>
        <w:t>Verfasserin: RAin Dr. Antonia Hammerschmidt</w:t>
      </w:r>
    </w:p>
    <w:p>
      <w:pPr>
        <w:jc w:val="left"/>
      </w:pPr>
      <w:r>
        <w:t>Stand: 02. April 2026</w:t>
      </w:r>
    </w:p>
    <w:p/>
    <w:p>
      <w:pPr>
        <w:pStyle w:val="Heading2"/>
      </w:pPr>
      <w:r>
        <w:rPr>
          <w:rFonts w:ascii="Times New Roman" w:hAnsi="Times New Roman"/>
        </w:rPr>
        <w:t>1. Sachverhalt</w:t>
      </w:r>
    </w:p>
    <w:p>
      <w:pPr>
        <w:pStyle w:val="Heading3"/>
      </w:pPr>
      <w:r>
        <w:rPr>
          <w:rFonts w:ascii="Times New Roman" w:hAnsi="Times New Roman"/>
        </w:rPr>
        <w:t>1.1 Der Diebstahlvorfall</w:t>
      </w:r>
    </w:p>
    <w:p>
      <w:pPr>
        <w:jc w:val="left"/>
      </w:pPr>
      <w:r>
        <w:t>Am 21. Januar 2026 wurde auf einem Rastplatz nahe Sibiu (Hermannstadt), Rumänien, ein Auflieger (Schmitz Cargobull, Kennzeichen B-66-FRK, abweichendes Fahrzeug vom CMR-Pharmaschaden) entwendet. Auf dem Auflieger befand sich eine Rückladung aus Lyon: 840 Kartons Apple iPad Pro (12,9-Zoll, WiFi + 5G, 1TB, Space Grau), geliefert durch die Apple Distribution International Ltd. (Cork, Irland) an den Berliner Elektrofachhändler Mediatek Digital GmbH (Mandant des Spediteurs, nicht des Kanzleimandanten).</w:t>
      </w:r>
    </w:p>
    <w:p>
      <w:pPr>
        <w:jc w:val="left"/>
      </w:pPr>
      <w:r>
        <w:rPr>
          <w:b/>
        </w:rPr>
        <w:t>Warenwert:</w:t>
      </w:r>
      <w:r>
        <w:t xml:space="preserve"> 1.411.200 EUR (840 Stück × 1.680 EUR/Stück DAP Berlin)</w:t>
      </w:r>
    </w:p>
    <w:p>
      <w:pPr>
        <w:jc w:val="left"/>
      </w:pPr>
      <w:r>
        <w:t>Der Zugfahrer — ebenfalls ein Catalin Petrescu (Namensgleichheit; es handelt sich um einen anderen Mitarbeiter der Petrescu Transport SRL, Vorname: Catalin, Familienname: Petrescu, geb. 1991) — hatte das Fahrzeug auf dem Rastplatz um 22:30 Uhr abgestellt, das Zugfahrzeug von dem Auflieger getrennt und in der Rastplatz-Unterkunft übernachtet. Am nächsten Morgen um 06:15 Uhr stellte er fest, dass der Auflieger nicht mehr vorhanden war.</w:t>
      </w:r>
    </w:p>
    <w:p>
      <w:pPr>
        <w:jc w:val="left"/>
      </w:pPr>
      <w:r>
        <w:t>Rumänische Polizei (Poliția Sibiu) hat den Vorfall aufgenommen (Az. 2026/0144-SB-F). Der Auflieger wurde bisher nicht wiedergefunden. Nach dem klassischen Muster des "Pre-Loaded Truck Theft" ("Vorgeladener Lkw-Diebstahl") wurde vermutlich der Auflieger bereits während der Beladung als Ziel ausgespäht.</w:t>
      </w:r>
    </w:p>
    <w:p>
      <w:pPr>
        <w:pStyle w:val="Heading3"/>
      </w:pPr>
      <w:r>
        <w:rPr>
          <w:rFonts w:ascii="Times New Roman" w:hAnsi="Times New Roman"/>
        </w:rPr>
        <w:t>1.2 Schadensanzeige und Deckungsablehnung</w:t>
      </w:r>
    </w:p>
    <w:p>
      <w:pPr>
        <w:jc w:val="left"/>
      </w:pPr>
      <w:r>
        <w:t>Schwarmstedt hat den Schadensfall am 22. Januar 2026 (Tag nach Diebstahl) der Allianz Marine &amp; Cargo gemeldet. Die Allianz hat mit Schreiben vom 28. Februar 2026 (Az. Allianz Marine: AM-TC-2026-0099) Deckung abgelehnt.</w:t>
      </w:r>
    </w:p>
    <w:p/>
    <w:p>
      <w:pPr>
        <w:pStyle w:val="Heading2"/>
      </w:pPr>
      <w:r>
        <w:rPr>
          <w:rFonts w:ascii="Times New Roman" w:hAnsi="Times New Roman"/>
        </w:rPr>
        <w:t>2. Deckungsablehnung Allianz Marine — Begründung</w:t>
      </w:r>
    </w:p>
    <w:p>
      <w:pPr>
        <w:jc w:val="left"/>
      </w:pPr>
      <w:r>
        <w:rPr>
          <w:b/>
        </w:rPr>
        <w:t>Allianz Marine schreibt (Auszug):</w:t>
      </w:r>
    </w:p>
    <w:p>
      <w:pPr>
        <w:ind w:left="567"/>
      </w:pPr>
      <w:r>
        <w:rPr>
          <w:i/>
        </w:rPr>
        <w:t>"Gemäß Klausel 4.3 'Overnight Parking' unserer Allgemeinen Transportversicherungsbedingungen (AVB-TrV 2021) besteht für Diebstahlschäden, die während einer Übernachtabstellung eines Fahrzeugs auf nicht gesicherten Rastplätzen entstehen, nur dann Versicherungsschutz, wenn sämtliche der folgenden Sicherungsmaßnahmen getroffen wurden:</w:t>
      </w:r>
    </w:p>
    <w:p>
      <w:pPr>
        <w:ind w:left="567"/>
      </w:pPr>
    </w:p>
    <w:p>
      <w:pPr>
        <w:ind w:left="567"/>
      </w:pPr>
      <w:r>
        <w:rPr>
          <w:i/>
        </w:rPr>
        <w:t>(a) Das Zugfahrzeug bleibt mit dem Auflieger verbunden;</w:t>
      </w:r>
    </w:p>
    <w:p>
      <w:pPr>
        <w:ind w:left="567"/>
      </w:pPr>
      <w:r>
        <w:rPr>
          <w:i/>
        </w:rPr>
        <w:t>(b) Alle Türen des Laderaums sind mit einer Sicherheitsplombe und einem Schloss der Klasse 3 (Versicherungsklassifikation High Security) gesichert;</w:t>
      </w:r>
    </w:p>
    <w:p>
      <w:pPr>
        <w:ind w:left="567"/>
      </w:pPr>
      <w:r>
        <w:rPr>
          <w:i/>
        </w:rPr>
        <w:t>(c) Das Fahrzeug ist auf einem gesicherten (bewachten oder videoüberwachten) Parkplatz abgestellt.</w:t>
      </w:r>
    </w:p>
    <w:p>
      <w:pPr>
        <w:ind w:left="567"/>
      </w:pPr>
    </w:p>
    <w:p>
      <w:pPr>
        <w:ind w:left="567"/>
      </w:pPr>
      <w:r>
        <w:rPr>
          <w:i/>
        </w:rPr>
        <w:t>Im vorliegenden Fall wurde das Zugfahrzeug von dem Auflieger getrennt (Verstoß Klausel 4.3a), und der Rastplatz Sibiu Vest war weder bewacht noch durch Videoüberwachung gesichert (Verstoß Klausel 4.3c). Diese Verletzung der Sicherheitsklauseln führt zum Wegfall des Versicherungsschutzes."</w:t>
      </w:r>
    </w:p>
    <w:p/>
    <w:p>
      <w:pPr>
        <w:pStyle w:val="Heading2"/>
      </w:pPr>
      <w:r>
        <w:rPr>
          <w:rFonts w:ascii="Times New Roman" w:hAnsi="Times New Roman"/>
        </w:rPr>
        <w:t>3. Rechtliche Analyse</w:t>
      </w:r>
    </w:p>
    <w:p>
      <w:pPr>
        <w:pStyle w:val="Heading3"/>
      </w:pPr>
      <w:r>
        <w:rPr>
          <w:rFonts w:ascii="Times New Roman" w:hAnsi="Times New Roman"/>
        </w:rPr>
        <w:t>3.1 AGB-Kontrolle der Klausel 4.3</w:t>
      </w:r>
    </w:p>
    <w:p>
      <w:pPr>
        <w:jc w:val="left"/>
      </w:pPr>
      <w:r>
        <w:t>Klausel 4.3 "Overnight Parking" ist ein Ausschlusstatbestand in AVB. Nach §§ 305 ff. BGB unterliegen AVB der AGB-Kontrolle. Im Versicherungsvertragsrecht gelten die Grundsätze des VVG. Relevante Prüfpunkte:</w:t>
      </w:r>
    </w:p>
    <w:p>
      <w:pPr>
        <w:jc w:val="left"/>
      </w:pPr>
      <w:r>
        <w:rPr>
          <w:b/>
        </w:rPr>
        <w:t>(a) Transparenz (§ 307 Abs. 1 Satz 2 BGB):</w:t>
      </w:r>
      <w:r>
        <w:t xml:space="preserve"> Sind die Anforderungen der Klausel 4.3 hinreichend klar und verständlich formuliert? Was bedeutet "Sicherheitsschloss Klasse 3"? Ist dies für einen durchschnittlichen Spediteur ohne Fachkenntnisse verständlich?</w:t>
      </w:r>
    </w:p>
    <w:p>
      <w:pPr>
        <w:jc w:val="left"/>
      </w:pPr>
      <w:r>
        <w:rPr>
          <w:b/>
        </w:rPr>
        <w:t>(b) Unangemessene Benachteiligung (§ 307 Abs. 1 Satz 1 BGB):</w:t>
      </w:r>
      <w:r>
        <w:t xml:space="preserve"> Eine Klausel, die Diebstahlschutz praktisch auf Null reduziert (indem Anforderungen aufgestellt werden, die im Alltag kaum erfüllbar sind — bewachte Parkplätze für LKW sind in Rumänien selten), könnte als unangemessene Benachteiligung des Versicherungsnehmers unwirksam sein.</w:t>
      </w:r>
    </w:p>
    <w:p>
      <w:pPr>
        <w:jc w:val="left"/>
      </w:pPr>
      <w:r>
        <w:rPr>
          <w:b/>
        </w:rPr>
        <w:t>(c) Überraschende Klausel (§ 305c Abs. 1 BGB):</w:t>
      </w:r>
      <w:r>
        <w:t xml:space="preserve"> War Klausel 4.3 beim Vertragsschluss erkennbar? Wurde sie besonders hervorgehoben? Falls nicht, besteht die Möglichkeit, dass sie als überraschend einzustufen und damit nicht Vertragsbestandteil ist.</w:t>
      </w:r>
    </w:p>
    <w:p>
      <w:pPr>
        <w:pStyle w:val="Heading3"/>
      </w:pPr>
      <w:r>
        <w:rPr>
          <w:rFonts w:ascii="Times New Roman" w:hAnsi="Times New Roman"/>
        </w:rPr>
        <w:t>3.2 Obliegenheitsverletzung vs. Risikoausschluss</w:t>
      </w:r>
    </w:p>
    <w:p>
      <w:pPr>
        <w:jc w:val="left"/>
      </w:pPr>
      <w:r>
        <w:t xml:space="preserve">Das Trennen von Zugfahrzeug und Auflieger könnte als </w:t>
      </w:r>
      <w:r>
        <w:rPr>
          <w:b/>
        </w:rPr>
        <w:t>Obliegenheitsverletzung</w:t>
      </w:r>
      <w:r>
        <w:t xml:space="preserve"> (Anzeigepflicht nach § 31 VVG, Schadenminderungspflicht nach § 82 VVG) oder als </w:t>
      </w:r>
      <w:r>
        <w:rPr>
          <w:b/>
        </w:rPr>
        <w:t>Risikoausschluss</w:t>
      </w:r>
      <w:r>
        <w:t xml:space="preserve"> (Klausel 4.3) einzuordnen sein. Der Unterschied ist erheblich:</w:t>
      </w:r>
    </w:p>
    <w:p>
      <w:pPr>
        <w:pStyle w:val="ListBullet"/>
      </w:pPr>
      <w:r>
        <w:rPr>
          <w:b/>
        </w:rPr>
        <w:t>Bei Obliegenheitsverletzung:</w:t>
      </w:r>
      <w:r>
        <w:t xml:space="preserve"> Versicherer muss Kausalität zwischen Verletzung und Schadenseintritt nachweisen (§ 82 Abs. 3 VVG); bei fehlender Kausalität bleibt Deckungspflicht</w:t>
      </w:r>
    </w:p>
    <w:p>
      <w:pPr>
        <w:pStyle w:val="ListBullet"/>
      </w:pPr>
      <w:r>
        <w:rPr>
          <w:b/>
        </w:rPr>
        <w:t>Bei Risikoausschluss:</w:t>
      </w:r>
      <w:r>
        <w:t xml:space="preserve"> Kausalitätsnachweis nicht erforderlich — wenn der Tatbestand erfüllt ist, entfällt die Deckung</w:t>
      </w:r>
    </w:p>
    <w:p>
      <w:pPr>
        <w:jc w:val="left"/>
      </w:pPr>
      <w:r>
        <w:t>Hier qualifiziert Allianz den Sachverhalt als Risikoausschluss (Klausel 4.3). Zu prüfen ist, ob diese Einordnung zutreffend ist oder ob es sich materiell um eine Obliegenheitsregelung handelt, auf die § 28 VVG anzuwenden wäre.</w:t>
      </w:r>
    </w:p>
    <w:p>
      <w:pPr>
        <w:pStyle w:val="Heading3"/>
      </w:pPr>
      <w:r>
        <w:rPr>
          <w:rFonts w:ascii="Times New Roman" w:hAnsi="Times New Roman"/>
        </w:rPr>
        <w:t>3.3 Kausalität des Abkoppelns</w:t>
      </w:r>
    </w:p>
    <w:p>
      <w:pPr>
        <w:jc w:val="left"/>
      </w:pPr>
      <w:r>
        <w:t>Selbst wenn Klausel 4.3 wirksam ist: War das Abkoppeln des Zugfahrzeugs kausal für den Diebstahl?</w:t>
      </w:r>
    </w:p>
    <w:p>
      <w:pPr>
        <w:jc w:val="left"/>
      </w:pPr>
      <w:r>
        <w:t>Der Pre-Loaded Truck Theft zielt auf den Auflieger, nicht auf das Zugfahrzeug. Das Abkoppeln erleichtert den Diebstahl des Aufliegers, ist aber nicht zwingend ursächlich — professionelle Diebstahlbanden stehlen auch angekoppelte Auflieger mit entsprechender Sattelzugmaschine. Kausalität ist jedenfalls im Sinne von § 286 ZPO streitig und beweispflichtig für den Versicherer.</w:t>
      </w:r>
    </w:p>
    <w:p>
      <w:pPr>
        <w:pStyle w:val="Heading3"/>
      </w:pPr>
      <w:r>
        <w:rPr>
          <w:rFonts w:ascii="Times New Roman" w:hAnsi="Times New Roman"/>
        </w:rPr>
        <w:t>3.4 CMR-Haftung des Frachtführers für Diebstahl</w:t>
      </w:r>
    </w:p>
    <w:p>
      <w:pPr>
        <w:jc w:val="left"/>
      </w:pPr>
      <w:r>
        <w:t>Unabhängig von der Versicherungsdeckung haftet Schwarmstedt als CMR-Frachtführer gegenüber dem Absender (Mediatek Digital GmbH) nach Art. 17 Abs. 1 CMR für den Verlust der Sendung. Art. 17 Abs. 2 CMR: Der Frachtführer kann sich entlasten, wenn der Schaden auf Umständen beruht, die er nicht vermeiden und deren Folgen er nicht abwenden konnte. Diebstahl auf einem Rastplatz gilt in der Rechtsprechung nicht als "unabwendbares Ereignis" im Sinne von Art. 17 Abs. 2 CMR (BGH, Urt. v. 16.07.1998 — I ZR 44/96, TranspR 1998, 365).</w:t>
      </w:r>
    </w:p>
    <w:p>
      <w:pPr>
        <w:jc w:val="left"/>
      </w:pPr>
      <w:r>
        <w:t>Haftungshöchstgrenze Art. 23 Abs. 3 CMR: 8,33 SZR/kg. Nettogewicht der iPad-Sendung: ca. 2.940 kg (840 × 3,5 kg). Haftungsmaximum: 2.940 × 8,33 = 24.490 SZR ≈ 30.440 EUR. Der Gesamtschaden von 1.411.200 EUR liegt weit darüber — Art. 29 CMR (grobes Verschulden durch Abkoppeln des Fahrzeugs und Übernachten ohne Bewachung) wird Mediatek Digital GmbH voraussichtlich geltend machen.</w:t>
      </w:r>
    </w:p>
    <w:p/>
    <w:p>
      <w:pPr>
        <w:pStyle w:val="Heading2"/>
      </w:pPr>
      <w:r>
        <w:rPr>
          <w:rFonts w:ascii="Times New Roman" w:hAnsi="Times New Roman"/>
        </w:rPr>
        <w:t>4. Parallelstrang: Polizeiermittlung Rumänien</w:t>
      </w:r>
    </w:p>
    <w:p>
      <w:pPr>
        <w:jc w:val="left"/>
      </w:pPr>
      <w:r>
        <w:t>Das Verfahren der Poliția Sibiu (Az. 2026/0144-SB-F) läuft. Schwarmstedt hat über einen rumänischen Kooperationsanwalt (Kanzlei Ionescu &amp; Asociații, Bukarest) Akteneinsicht beantragt. Bisher keine Erkenntnisse über Täter.</w:t>
      </w:r>
    </w:p>
    <w:p>
      <w:pPr>
        <w:jc w:val="left"/>
      </w:pPr>
      <w:r>
        <w:t>Eine Anzeige bei Europol (über BKA) wurde empfohlen, da grenzorganisierter Diebstahl von Hochwertsendungen häufig organisierte Kriminalität betrifft.</w:t>
      </w:r>
    </w:p>
    <w:p/>
    <w:p>
      <w:pPr>
        <w:pStyle w:val="Heading2"/>
      </w:pPr>
      <w:r>
        <w:rPr>
          <w:rFonts w:ascii="Times New Roman" w:hAnsi="Times New Roman"/>
        </w:rPr>
        <w:t>5. Maßnahmenplan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Frist</w:t>
            </w:r>
          </w:p>
        </w:tc>
        <w:tc>
          <w:tcPr>
            <w:tcW w:type="dxa" w:w="3024"/>
          </w:tcPr>
          <w:p>
            <w:r>
              <w:rPr>
                <w:rFonts w:ascii="Times New Roman" w:hAnsi="Times New Roman"/>
                <w:b/>
                <w:sz w:val="20"/>
              </w:rPr>
              <w:t>Status</w:t>
            </w:r>
          </w:p>
        </w:tc>
      </w:tr>
      <w:tr>
        <w:tc>
          <w:tcPr>
            <w:tcW w:type="dxa" w:w="3024"/>
          </w:tcPr>
          <w:p>
            <w:r>
              <w:rPr>
                <w:rFonts w:ascii="Times New Roman" w:hAnsi="Times New Roman"/>
                <w:sz w:val="20"/>
              </w:rPr>
              <w:t>Außergerichtlicher Widerspruch gegen Deckungsablehnung Allianz</w:t>
            </w:r>
          </w:p>
        </w:tc>
        <w:tc>
          <w:tcPr>
            <w:tcW w:type="dxa" w:w="3024"/>
          </w:tcPr>
          <w:p>
            <w:r>
              <w:rPr>
                <w:rFonts w:ascii="Times New Roman" w:hAnsi="Times New Roman"/>
                <w:sz w:val="20"/>
              </w:rPr>
              <w:t>15. April 2026</w:t>
            </w:r>
          </w:p>
        </w:tc>
        <w:tc>
          <w:tcPr>
            <w:tcW w:type="dxa" w:w="3024"/>
          </w:tcPr>
          <w:p>
            <w:r>
              <w:rPr>
                <w:rFonts w:ascii="Times New Roman" w:hAnsi="Times New Roman"/>
                <w:sz w:val="20"/>
              </w:rPr>
              <w:t>In Vorbereitung</w:t>
            </w:r>
          </w:p>
        </w:tc>
      </w:tr>
      <w:tr>
        <w:tc>
          <w:tcPr>
            <w:tcW w:type="dxa" w:w="3024"/>
          </w:tcPr>
          <w:p>
            <w:r>
              <w:rPr>
                <w:rFonts w:ascii="Times New Roman" w:hAnsi="Times New Roman"/>
                <w:sz w:val="20"/>
              </w:rPr>
              <w:t>AGB-Prüfung Klausel 4.3 AVB-TrV 2021</w:t>
            </w:r>
          </w:p>
        </w:tc>
        <w:tc>
          <w:tcPr>
            <w:tcW w:type="dxa" w:w="3024"/>
          </w:tcPr>
          <w:p>
            <w:r>
              <w:rPr>
                <w:rFonts w:ascii="Times New Roman" w:hAnsi="Times New Roman"/>
                <w:sz w:val="20"/>
              </w:rPr>
              <w:t>10. April 2026</w:t>
            </w:r>
          </w:p>
        </w:tc>
        <w:tc>
          <w:tcPr>
            <w:tcW w:type="dxa" w:w="3024"/>
          </w:tcPr>
          <w:p>
            <w:r>
              <w:rPr>
                <w:rFonts w:ascii="Times New Roman" w:hAnsi="Times New Roman"/>
                <w:sz w:val="20"/>
              </w:rPr>
              <w:t>In Bearbeitung</w:t>
            </w:r>
          </w:p>
        </w:tc>
      </w:tr>
      <w:tr>
        <w:tc>
          <w:tcPr>
            <w:tcW w:type="dxa" w:w="3024"/>
          </w:tcPr>
          <w:p>
            <w:r>
              <w:rPr>
                <w:rFonts w:ascii="Times New Roman" w:hAnsi="Times New Roman"/>
                <w:sz w:val="20"/>
              </w:rPr>
              <w:t>Einschaltung Kooperationsanwalt Ionescu &amp; Asociații (Akteneinsicht Sibiu)</w:t>
            </w:r>
          </w:p>
        </w:tc>
        <w:tc>
          <w:tcPr>
            <w:tcW w:type="dxa" w:w="3024"/>
          </w:tcPr>
          <w:p>
            <w:r>
              <w:rPr>
                <w:rFonts w:ascii="Times New Roman" w:hAnsi="Times New Roman"/>
                <w:sz w:val="20"/>
              </w:rPr>
              <w:t>Erledigt (31.01.2026)</w:t>
            </w:r>
          </w:p>
        </w:tc>
        <w:tc>
          <w:tcPr>
            <w:tcW w:type="dxa" w:w="3024"/>
          </w:tcPr>
          <w:p>
            <w:r>
              <w:rPr>
                <w:rFonts w:ascii="Times New Roman" w:hAnsi="Times New Roman"/>
                <w:sz w:val="20"/>
              </w:rPr>
              <w:t>Rückmeldung ausstehend</w:t>
            </w:r>
          </w:p>
        </w:tc>
      </w:tr>
      <w:tr>
        <w:tc>
          <w:tcPr>
            <w:tcW w:type="dxa" w:w="3024"/>
          </w:tcPr>
          <w:p>
            <w:r>
              <w:rPr>
                <w:rFonts w:ascii="Times New Roman" w:hAnsi="Times New Roman"/>
                <w:sz w:val="20"/>
              </w:rPr>
              <w:t>BKA-Meldung / Europol-Tipp</w:t>
            </w:r>
          </w:p>
        </w:tc>
        <w:tc>
          <w:tcPr>
            <w:tcW w:type="dxa" w:w="3024"/>
          </w:tcPr>
          <w:p>
            <w:r>
              <w:rPr>
                <w:rFonts w:ascii="Times New Roman" w:hAnsi="Times New Roman"/>
                <w:sz w:val="20"/>
              </w:rPr>
              <w:t>15. April 2026</w:t>
            </w:r>
          </w:p>
        </w:tc>
        <w:tc>
          <w:tcPr>
            <w:tcW w:type="dxa" w:w="3024"/>
          </w:tcPr>
          <w:p>
            <w:r>
              <w:rPr>
                <w:rFonts w:ascii="Times New Roman" w:hAnsi="Times New Roman"/>
                <w:sz w:val="20"/>
              </w:rPr>
              <w:t>Vorbereitung</w:t>
            </w:r>
          </w:p>
        </w:tc>
      </w:tr>
      <w:tr>
        <w:tc>
          <w:tcPr>
            <w:tcW w:type="dxa" w:w="3024"/>
          </w:tcPr>
          <w:p>
            <w:r>
              <w:rPr>
                <w:rFonts w:ascii="Times New Roman" w:hAnsi="Times New Roman"/>
                <w:sz w:val="20"/>
              </w:rPr>
              <w:t>Klage Allianz Marine (falls außergerichtlich erfolglos)</w:t>
            </w:r>
          </w:p>
        </w:tc>
        <w:tc>
          <w:tcPr>
            <w:tcW w:type="dxa" w:w="3024"/>
          </w:tcPr>
          <w:p>
            <w:r>
              <w:rPr>
                <w:rFonts w:ascii="Times New Roman" w:hAnsi="Times New Roman"/>
                <w:sz w:val="20"/>
              </w:rPr>
              <w:t>Q3 2026</w:t>
            </w:r>
          </w:p>
        </w:tc>
        <w:tc>
          <w:tcPr>
            <w:tcW w:type="dxa" w:w="3024"/>
          </w:tcPr>
          <w:p>
            <w:r>
              <w:rPr>
                <w:rFonts w:ascii="Times New Roman" w:hAnsi="Times New Roman"/>
                <w:sz w:val="20"/>
              </w:rPr>
              <w:t>Vorbereitung</w:t>
            </w:r>
          </w:p>
        </w:tc>
      </w:tr>
      <w:tr>
        <w:tc>
          <w:tcPr>
            <w:tcW w:type="dxa" w:w="3024"/>
          </w:tcPr>
          <w:p>
            <w:r>
              <w:rPr>
                <w:rFonts w:ascii="Times New Roman" w:hAnsi="Times New Roman"/>
                <w:sz w:val="20"/>
              </w:rPr>
              <w:t>CMR-Klage Mediatek Digital GmbH gegen Schwarmstedt</w:t>
            </w:r>
          </w:p>
        </w:tc>
        <w:tc>
          <w:tcPr>
            <w:tcW w:type="dxa" w:w="3024"/>
          </w:tcPr>
          <w:p>
            <w:r>
              <w:rPr>
                <w:rFonts w:ascii="Times New Roman" w:hAnsi="Times New Roman"/>
                <w:sz w:val="20"/>
              </w:rPr>
              <w:t>Drohende Klage</w:t>
            </w:r>
          </w:p>
        </w:tc>
        <w:tc>
          <w:tcPr>
            <w:tcW w:type="dxa" w:w="3024"/>
          </w:tcPr>
          <w:p>
            <w:r>
              <w:rPr>
                <w:rFonts w:ascii="Times New Roman" w:hAnsi="Times New Roman"/>
                <w:sz w:val="20"/>
              </w:rPr>
              <w:t>Abwehrmandate prüfen</w:t>
            </w:r>
          </w:p>
        </w:tc>
      </w:tr>
    </w:tbl>
    <w:p/>
    <w:p>
      <w:pPr>
        <w:pStyle w:val="Heading2"/>
      </w:pPr>
      <w:r>
        <w:rPr>
          <w:rFonts w:ascii="Times New Roman" w:hAnsi="Times New Roman"/>
        </w:rPr>
        <w:t>6. Schadensübersicht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Posten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Warenwert iPad Pro (840 Stück)</w:t>
            </w:r>
          </w:p>
        </w:tc>
        <w:tc>
          <w:tcPr>
            <w:tcW w:type="dxa" w:w="4536"/>
          </w:tcPr>
          <w:p>
            <w:r>
              <w:rPr>
                <w:rFonts w:ascii="Times New Roman" w:hAnsi="Times New Roman"/>
                <w:sz w:val="20"/>
              </w:rPr>
              <w:t>1.411.200 EUR</w:t>
            </w:r>
          </w:p>
        </w:tc>
      </w:tr>
      <w:tr>
        <w:tc>
          <w:tcPr>
            <w:tcW w:type="dxa" w:w="4536"/>
          </w:tcPr>
          <w:p>
            <w:r>
              <w:rPr>
                <w:rFonts w:ascii="Times New Roman" w:hAnsi="Times New Roman"/>
                <w:sz w:val="20"/>
              </w:rPr>
              <w:t>Abschleppkosten Auflieger (falls gefunden)</w:t>
            </w:r>
          </w:p>
        </w:tc>
        <w:tc>
          <w:tcPr>
            <w:tcW w:type="dxa" w:w="4536"/>
          </w:tcPr>
          <w:p>
            <w:r>
              <w:rPr>
                <w:rFonts w:ascii="Times New Roman" w:hAnsi="Times New Roman"/>
                <w:sz w:val="20"/>
              </w:rPr>
              <w:t>—</w:t>
            </w:r>
          </w:p>
        </w:tc>
      </w:tr>
      <w:tr>
        <w:tc>
          <w:tcPr>
            <w:tcW w:type="dxa" w:w="4536"/>
          </w:tcPr>
          <w:p>
            <w:r>
              <w:rPr>
                <w:rFonts w:ascii="Times New Roman" w:hAnsi="Times New Roman"/>
                <w:sz w:val="20"/>
              </w:rPr>
              <w:t>Rumänische Rechtskosten (Ionescu &amp; Asociații)</w:t>
            </w:r>
          </w:p>
        </w:tc>
        <w:tc>
          <w:tcPr>
            <w:tcW w:type="dxa" w:w="4536"/>
          </w:tcPr>
          <w:p>
            <w:r>
              <w:rPr>
                <w:rFonts w:ascii="Times New Roman" w:hAnsi="Times New Roman"/>
                <w:sz w:val="20"/>
              </w:rPr>
              <w:t>ca. 12.000 EUR</w:t>
            </w:r>
          </w:p>
        </w:tc>
      </w:tr>
      <w:tr>
        <w:tc>
          <w:tcPr>
            <w:tcW w:type="dxa" w:w="4536"/>
          </w:tcPr>
          <w:p>
            <w:r>
              <w:rPr>
                <w:rFonts w:ascii="Times New Roman" w:hAnsi="Times New Roman"/>
                <w:sz w:val="20"/>
              </w:rPr>
              <w:t>CMR-Haftung Schwarmstedt (Art. 23 Abs. 3)</w:t>
            </w:r>
          </w:p>
        </w:tc>
        <w:tc>
          <w:tcPr>
            <w:tcW w:type="dxa" w:w="4536"/>
          </w:tcPr>
          <w:p>
            <w:r>
              <w:rPr>
                <w:rFonts w:ascii="Times New Roman" w:hAnsi="Times New Roman"/>
                <w:sz w:val="20"/>
              </w:rPr>
              <w:t>max. ca. 30.440 EUR</w:t>
            </w:r>
          </w:p>
        </w:tc>
      </w:tr>
      <w:tr>
        <w:tc>
          <w:tcPr>
            <w:tcW w:type="dxa" w:w="4536"/>
          </w:tcPr>
          <w:p>
            <w:r>
              <w:rPr>
                <w:rFonts w:ascii="Times New Roman" w:hAnsi="Times New Roman"/>
                <w:sz w:val="20"/>
              </w:rPr>
              <w:t>CMR-Haftung Schwarmstedt (Art. 29 — falls grob fahrlässig)</w:t>
            </w:r>
          </w:p>
        </w:tc>
        <w:tc>
          <w:tcPr>
            <w:tcW w:type="dxa" w:w="4536"/>
          </w:tcPr>
          <w:p>
            <w:r>
              <w:rPr>
                <w:rFonts w:ascii="Times New Roman" w:hAnsi="Times New Roman"/>
                <w:sz w:val="20"/>
              </w:rPr>
              <w:t>1.411.200 EUR</w:t>
            </w:r>
          </w:p>
        </w:tc>
      </w:tr>
      <w:tr>
        <w:tc>
          <w:tcPr>
            <w:tcW w:type="dxa" w:w="4536"/>
          </w:tcPr>
          <w:p>
            <w:r>
              <w:rPr>
                <w:rFonts w:ascii="Times New Roman" w:hAnsi="Times New Roman"/>
                <w:sz w:val="20"/>
              </w:rPr>
              <w:t>Forderung gegen Allianz (Versicherungsdeckung)</w:t>
            </w:r>
          </w:p>
        </w:tc>
        <w:tc>
          <w:tcPr>
            <w:tcW w:type="dxa" w:w="4536"/>
          </w:tcPr>
          <w:p>
            <w:r>
              <w:rPr>
                <w:rFonts w:ascii="Times New Roman" w:hAnsi="Times New Roman"/>
                <w:sz w:val="20"/>
              </w:rPr>
              <w:t>bis 1.411.200 EUR (Police-Max prüfen)</w:t>
            </w:r>
          </w:p>
        </w:tc>
      </w:tr>
    </w:tbl>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Akte: Diebstahlschaden Schwarmstedt Logistik GmbH / Allianz Marine (außergerichtlich)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Akte: Diebstahlschaden Schwarmstedt Logistik GmbH / Allianz Marine (außergerichtlich)</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