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Digital-Compliance — eCMR, FrachtPersV, KI-Routenoptimierung</w:t>
      </w:r>
    </w:p>
    <w:p>
      <w:pPr>
        <w:jc w:val="left"/>
      </w:pPr>
      <w:r>
        <w:t>Akte: Compliance-Analyse / Schwarmstedt Logistik GmbH</w:t>
      </w:r>
    </w:p>
    <w:p>
      <w:pPr>
        <w:jc w:val="left"/>
      </w:pPr>
      <w:r>
        <w:t>Verfasserin: Frederike Klemm (Referendarin), unter Aufsicht RAin Dr. Hammerschmidt</w:t>
      </w:r>
    </w:p>
    <w:p>
      <w:pPr>
        <w:jc w:val="left"/>
      </w:pPr>
      <w:r>
        <w:t>Stand: 10. April 2026</w:t>
      </w:r>
    </w:p>
    <w:p/>
    <w:p>
      <w:pPr>
        <w:pStyle w:val="Heading2"/>
      </w:pPr>
      <w:r>
        <w:rPr>
          <w:rFonts w:ascii="Times New Roman" w:hAnsi="Times New Roman"/>
        </w:rPr>
        <w:t>1. Ausgangslage</w:t>
      </w:r>
    </w:p>
    <w:p>
      <w:pPr>
        <w:jc w:val="left"/>
      </w:pPr>
      <w:r>
        <w:t>Im Rahmen der Mandatsbearbeitung wurden mehrere digitale Compliance-Defizite bei der Schwarmstedt Logistik GmbH identifiziert, die zwar nicht unmittelbar mit dem CMR-Transportschaden zusammenhängen, jedoch regulatorische Risiken begründen und im Rahmen der Gesamtberatung zu adressieren sind.</w:t>
      </w:r>
    </w:p>
    <w:p/>
    <w:p>
      <w:pPr>
        <w:pStyle w:val="Heading2"/>
      </w:pPr>
      <w:r>
        <w:rPr>
          <w:rFonts w:ascii="Times New Roman" w:hAnsi="Times New Roman"/>
        </w:rPr>
        <w:t>2. eCMR — Elektronischer Frachtbrief</w:t>
      </w:r>
    </w:p>
    <w:p>
      <w:pPr>
        <w:pStyle w:val="Heading3"/>
      </w:pPr>
      <w:r>
        <w:rPr>
          <w:rFonts w:ascii="Times New Roman" w:hAnsi="Times New Roman"/>
        </w:rPr>
        <w:t>2.1 Rechtsgrundlage</w:t>
      </w:r>
    </w:p>
    <w:p>
      <w:pPr>
        <w:jc w:val="left"/>
      </w:pPr>
      <w:r>
        <w:t>Der elektronische CMR-Frachtbrief (eCMR) ist durch das Zusatzprotokoll zur CMR vom 20. Februar 2008 (sog. e-CMR-Protokoll) zugelassen, dem Deutschland am 16. März 2020 beigetreten ist (BGBl. II 2020, Nr. 10, S. 218). Frankreich, Rumänien und zahlreiche weitere EU-Staaten sind ebenfalls Vertragsparteien.</w:t>
      </w:r>
    </w:p>
    <w:p>
      <w:pPr>
        <w:jc w:val="left"/>
      </w:pPr>
      <w:r>
        <w:t>Die eCMR ermöglicht die vollständige Digitalisierung des Frachtbriefaustauschs (Ausstellung, Übermittlung, Empfangsbestätigung) über interoperable Plattformen.</w:t>
      </w:r>
    </w:p>
    <w:p>
      <w:pPr>
        <w:pStyle w:val="Heading3"/>
      </w:pPr>
      <w:r>
        <w:rPr>
          <w:rFonts w:ascii="Times New Roman" w:hAnsi="Times New Roman"/>
        </w:rPr>
        <w:t>2.2 Festgestellte Mängel im Schadenstransport</w:t>
      </w:r>
    </w:p>
    <w:p>
      <w:pPr>
        <w:jc w:val="left"/>
      </w:pPr>
      <w:r>
        <w:t>Der CMR-Frachtbrief Nr. CMR-2026-DE-001-0018 wurde als Papier-Frachtbrief ausgestellt. Schwarmstedt nutzt für etwa 30% seiner EU-Transporte bereits die eCMR-Plattform "CargoSign" (Lieferant: CargoSign BV, Rotterdam). Im vorliegenden Transport wurde eCMR nicht eingesetzt.</w:t>
      </w:r>
    </w:p>
    <w:p>
      <w:pPr>
        <w:jc w:val="left"/>
      </w:pPr>
      <w:r>
        <w:rPr>
          <w:b/>
        </w:rPr>
        <w:t>Unvollständige eCMR-Daten (sofern vorhanden):</w:t>
      </w:r>
    </w:p>
    <w:p>
      <w:pPr>
        <w:jc w:val="left"/>
      </w:pPr>
      <w:r>
        <w:t>Das CargoSign-System enthält für andere Transporte im Januar 2026 lückenhafte Einträge:</w:t>
      </w:r>
    </w:p>
    <w:p>
      <w:pPr>
        <w:pStyle w:val="ListBullet"/>
      </w:pPr>
      <w:r>
        <w:t>Fehlende GPS-Koordinaten bei Fahrtunterbrechungen</w:t>
      </w:r>
    </w:p>
    <w:p>
      <w:pPr>
        <w:pStyle w:val="ListBullet"/>
      </w:pPr>
      <w:r>
        <w:t>Nicht vollständig eingetragene Unterschriften bei Übergabe/Übernahme (Empfängerbestätigung fehlt in 3 Fällen)</w:t>
      </w:r>
    </w:p>
    <w:p>
      <w:pPr>
        <w:pStyle w:val="ListBullet"/>
      </w:pPr>
      <w:r>
        <w:t>Temperaturlogger-Daten nicht mit eCMR verknüpft (manueller Export erforderlich)</w:t>
      </w:r>
    </w:p>
    <w:p>
      <w:pPr>
        <w:jc w:val="left"/>
      </w:pPr>
      <w:r>
        <w:rPr>
          <w:b/>
        </w:rPr>
        <w:t>Rechtliche Einordnung:</w:t>
      </w:r>
      <w:r>
        <w:t xml:space="preserve"> Unvollständige oder fehlende eCMR-Einträge begründen im Streitfall Beweisprobleme. Nach Art. 9 CMR hat der Frachtbrief Beweiskraft für Übernahme, Zustand und Gewicht der Güter. Wenn der eCMR unvollständig ist, entfällt diese Beweiskraft.</w:t>
      </w:r>
    </w:p>
    <w:p>
      <w:pPr>
        <w:pStyle w:val="Heading3"/>
      </w:pPr>
      <w:r>
        <w:rPr>
          <w:rFonts w:ascii="Times New Roman" w:hAnsi="Times New Roman"/>
        </w:rPr>
        <w:t>2.3 FrachtPersV-Anforderungen</w:t>
      </w:r>
    </w:p>
    <w:p>
      <w:pPr>
        <w:jc w:val="left"/>
      </w:pPr>
      <w:r>
        <w:t>Die Fahrpersonalverordnung (FrachtPersV) i.d.F. vom 01. März 2021 setzt die VO (EG) 561/2006 und die RL 2002/15/EG für die Arbeitszeitgestaltung um. § 1 Abs. 2 FrachtPersV definiert den Anwendungsbereich: alle Fahrzeuge mit einem zulässigen Gesamtgewicht über 3,5 Tonnen im gewerblichen Güterverkehr.</w:t>
      </w:r>
    </w:p>
    <w:p>
      <w:pPr>
        <w:jc w:val="left"/>
      </w:pPr>
      <w:r>
        <w:rPr>
          <w:b/>
        </w:rPr>
        <w:t>Streitpunkt FrachtPersV:</w:t>
      </w:r>
      <w:r>
        <w:t xml:space="preserve"> Nach §§ 6 ff. FrachtPersV sind Aufzeichnungen über Arbeitszeiten, Lenkzeiten und Ruhezeiten zu führen und für mindestens 12 Monate aufzubewahren. Bei Schwarmstedt liegen die Tachographendaten in digitaler Form vor (Digi-Tach DTCO 3283, Hersteller: VDO/Continental). Der Abruf und die Archivierung erfolgen nach bisheriger Feststellung unregelmäßig — nicht alle Fahrerdaten werden nach jedem Einsatz heruntergeladen.</w:t>
      </w:r>
    </w:p>
    <w:p>
      <w:pPr>
        <w:jc w:val="left"/>
      </w:pPr>
      <w:r>
        <w:rPr>
          <w:b/>
        </w:rPr>
        <w:t>BALM-Risiko:</w:t>
      </w:r>
      <w:r>
        <w:t xml:space="preserve"> Das BALM prüft bei Kontrollen regelmäßig die Vollständigkeit der Tachographenaufzeichnungen. Lücken in der Aufzeichnung (nicht heruntergeladene Daten) können als Verstoß gegen § 4 Abs. 3 FPersG (Aufzeichnungspflicht des Unternehmers) geahndet werden.</w:t>
      </w:r>
    </w:p>
    <w:p/>
    <w:p>
      <w:pPr>
        <w:pStyle w:val="Heading2"/>
      </w:pPr>
      <w:r>
        <w:rPr>
          <w:rFonts w:ascii="Times New Roman" w:hAnsi="Times New Roman"/>
        </w:rPr>
        <w:t>3. KI-Routenoptimierungstool "TruckMind" — Regulierung nach KI-VO</w:t>
      </w:r>
    </w:p>
    <w:p>
      <w:pPr>
        <w:pStyle w:val="Heading3"/>
      </w:pPr>
      <w:r>
        <w:rPr>
          <w:rFonts w:ascii="Times New Roman" w:hAnsi="Times New Roman"/>
        </w:rPr>
        <w:t>3.1 Das System</w:t>
      </w:r>
    </w:p>
    <w:p>
      <w:pPr>
        <w:jc w:val="left"/>
      </w:pPr>
      <w:r>
        <w:t>Schwarmstedt Logistik GmbH setzt seit Oktober 2025 probeweise das KI-Routenoptimierungssystem "TruckMind" ein (Hersteller: TruckMind Solutions GmbH, Stuttgart, Beta-Version 2.1.0). TruckMind nutzt maschinelles Lernen und Echtzeit-Verkehrsdaten zur Optimierung von Transportrouten, Fahrzeugbelegung und Fahrereinsatzplanung. Das System generiert auch Empfehlungen zur Lenk- und Ruhezeitplanung.</w:t>
      </w:r>
    </w:p>
    <w:p>
      <w:pPr>
        <w:pStyle w:val="Heading3"/>
      </w:pPr>
      <w:r>
        <w:rPr>
          <w:rFonts w:ascii="Times New Roman" w:hAnsi="Times New Roman"/>
        </w:rPr>
        <w:t>3.2 Anwendbarkeit der KI-Verordnung (EU) 2024/1689</w:t>
      </w:r>
    </w:p>
    <w:p>
      <w:pPr>
        <w:jc w:val="left"/>
      </w:pPr>
      <w:r>
        <w:t>Die Verordnung (EU) 2024/1689 des Europäischen Parlaments und des Rates über künstliche Intelligenz (KI-VO, "AI Act") ist am 01. August 2024 in Kraft getreten; die Verbote für unakzeptable Risiken gelten ab 02. Februar 2025, weitere Vorschriften ab 02. August 2025 (für Hochrisiko-KI-Systeme).</w:t>
      </w:r>
    </w:p>
    <w:p>
      <w:pPr>
        <w:jc w:val="left"/>
      </w:pPr>
      <w:r>
        <w:rPr>
          <w:b/>
        </w:rPr>
        <w:t>Einordnung TruckMind:</w:t>
      </w:r>
    </w:p>
    <w:p>
      <w:pPr>
        <w:jc w:val="left"/>
      </w:pPr>
      <w:r>
        <w:t>Art. 6 Abs. 2 KI-VO i.V.m. Anhang III KI-VO listet Hochrisiko-KI-Systeme auf. Relevant sind:</w:t>
      </w:r>
    </w:p>
    <w:p>
      <w:pPr>
        <w:pStyle w:val="ListBullet"/>
      </w:pPr>
      <w:r>
        <w:t>Anhang III Nr. 3: "KI-Systeme für den Betrieb kritischer Infrastrukturen" — Logistik ist nicht explizit genannt, aber Gefahrguttransport könnte unter kritische Infrastruktur fallen</w:t>
      </w:r>
    </w:p>
    <w:p>
      <w:pPr>
        <w:pStyle w:val="ListBullet"/>
      </w:pPr>
      <w:r>
        <w:t>Anhang III Nr. 9: "KI-Systeme für die Personalverwaltung, insbesondere die Rekrutierung und Auswahl von Arbeitnehmern" — die Fahrereinsatzplanung durch TruckMind könnte hierunter fallen</w:t>
      </w:r>
    </w:p>
    <w:p>
      <w:pPr>
        <w:jc w:val="left"/>
      </w:pPr>
      <w:r>
        <w:rPr>
          <w:b/>
        </w:rPr>
        <w:t>Vorläufige Einschätzung:</w:t>
      </w:r>
      <w:r>
        <w:t xml:space="preserve"> TruckMind ist wahrscheinlich </w:t>
      </w:r>
      <w:r>
        <w:rPr>
          <w:b/>
        </w:rPr>
        <w:t>kein Hochrisiko-KI-System</w:t>
      </w:r>
      <w:r>
        <w:t xml:space="preserve"> nach Anhang III, da es primär Routenoptimierung (kein biometrisches Screening, keine Entscheidung über grundlegende Rechte) betreibt. Es unterliegt jedoch den allgemeinen Transparenzpflichten nach Art. 50 KI-VO.</w:t>
      </w:r>
    </w:p>
    <w:p>
      <w:pPr>
        <w:pStyle w:val="Heading3"/>
      </w:pPr>
      <w:r>
        <w:rPr>
          <w:rFonts w:ascii="Times New Roman" w:hAnsi="Times New Roman"/>
        </w:rPr>
        <w:t>3.3 Transparenz- und Protokollierungspflichten</w:t>
      </w:r>
    </w:p>
    <w:p>
      <w:pPr>
        <w:jc w:val="left"/>
      </w:pPr>
      <w:r>
        <w:t>Auch wenn TruckMind nicht als Hochrisiko-System einzustufen ist, sollte Schwarmstedt folgendes sicherstellen:</w:t>
      </w:r>
    </w:p>
    <w:p>
      <w:pPr>
        <w:jc w:val="left"/>
      </w:pPr>
      <w:r>
        <w:rPr>
          <w:b/>
        </w:rPr>
        <w:t>(a) Art. 50 KI-VO (Transparenzpflichten):</w:t>
      </w:r>
      <w:r>
        <w:t xml:space="preserve"> Fahrer müssen informiert sein, dass KI-Empfehlungen für ihre Routenplanung genutzt werden. TruckMind muss sich als KI-System zu erkennen geben.</w:t>
      </w:r>
    </w:p>
    <w:p>
      <w:pPr>
        <w:jc w:val="left"/>
      </w:pPr>
      <w:r>
        <w:rPr>
          <w:b/>
        </w:rPr>
        <w:t>(b) Protokollierung (Logging):</w:t>
      </w:r>
      <w:r>
        <w:t xml:space="preserve"> Für spätere Streitfälle sollte dokumentiert sein, welche KI-Empfehlungen gegeben und welche tatsächlich umgesetzt wurden. Im vorliegenden CMR-Schadensfall: Hat TruckMind eine Routenempfehlung gegeben, die zu dem Halt bei Bourg-en-Bresse geführt hat? Kann die KI für den Standort des Halts mitverantwortlich sein?</w:t>
      </w:r>
    </w:p>
    <w:p>
      <w:pPr>
        <w:jc w:val="left"/>
      </w:pPr>
      <w:r>
        <w:rPr>
          <w:b/>
        </w:rPr>
        <w:t>(c) Haftung für KI-Entscheidungen:</w:t>
      </w:r>
      <w:r>
        <w:t xml:space="preserve"> Nach dem Entwurf der KI-Haftungsrichtlinie (KI-HaftungsRL, COM(2022) 496) kann der Nutzer eines KI-Systems unter Umständen für fehlerhafte KI-Empfehlungen haftbar sein. Diese Richtlinie ist noch nicht in Kraft, der Gedanke ist aber bei der Haftungsabgrenzung zu berücksichtigen.</w:t>
      </w:r>
    </w:p>
    <w:p>
      <w:pPr>
        <w:pStyle w:val="Heading3"/>
      </w:pPr>
      <w:r>
        <w:rPr>
          <w:rFonts w:ascii="Times New Roman" w:hAnsi="Times New Roman"/>
        </w:rPr>
        <w:t>3.4 Datenschutz (DSGVO) — Fahrerdaten</w:t>
      </w:r>
    </w:p>
    <w:p>
      <w:pPr>
        <w:jc w:val="left"/>
      </w:pPr>
      <w:r>
        <w:t>TruckMind verarbeitet GPS-Daten, Tachographendaten und Lenk- und Ruhezeitdaten der Fahrer (personenbezogene Daten i.S.d. Art. 4 Nr. 1 DSGVO). Schwarmstedt hat als Arbeitgeber (Controller nach Art. 4 Nr. 7 DSGVO):</w:t>
      </w:r>
    </w:p>
    <w:p>
      <w:pPr>
        <w:pStyle w:val="ListBullet"/>
      </w:pPr>
      <w:r>
        <w:t>Informationspflicht nach Art. 13 DSGVO gegenüber Fahrern erfüllt? → zu prüfen</w:t>
      </w:r>
    </w:p>
    <w:p>
      <w:pPr>
        <w:pStyle w:val="ListBullet"/>
      </w:pPr>
      <w:r>
        <w:t>Auftragsverarbeitungsvertrag (AVV) mit TruckMind Solutions GmbH abgeschlossen? → nach Auskunft Funkbruch: noch nicht abgeschlossen (</w:t>
      </w:r>
      <w:r>
        <w:rPr>
          <w:b/>
        </w:rPr>
        <w:t>dringlicher Handlungsbedarf</w:t>
      </w:r>
      <w:r>
        <w:t>)</w:t>
      </w:r>
    </w:p>
    <w:p/>
    <w:p>
      <w:pPr>
        <w:pStyle w:val="Heading2"/>
      </w:pPr>
      <w:r>
        <w:rPr>
          <w:rFonts w:ascii="Times New Roman" w:hAnsi="Times New Roman"/>
        </w:rPr>
        <w:t>4. Empfehlungspaket Digital-Compliance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eCMR-Integration mit Temperaturlogger DataTrack (API-Anbindung)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Q3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Vollständige Tachographen-Daten-Routine (tägl. Download)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Sofort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AVV mit TruckMind Solutions GmbH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 April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Fahrerinformation zu TruckMind (Transparenz KI-VO)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 April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Sanktionslisten-Screening-System (s. Akte 09)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Sofort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Revision Subunternehmerprüfungsprotokoll (GDP, GüKG)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Q2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eCMR-Vollständigkeitsprüfung (Unterzeichnungsroutine)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Q2 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Relevanz für das Hauptverfahren LG Hannover</w:t>
      </w:r>
    </w:p>
    <w:p>
      <w:pPr>
        <w:jc w:val="left"/>
      </w:pPr>
      <w:r>
        <w:t>Die digitalen Compliance-Lücken sind für das Hauptverfahren mittelbar relevant:</w:t>
      </w:r>
    </w:p>
    <w:p>
      <w:pPr>
        <w:pStyle w:val="ListBullet"/>
      </w:pPr>
      <w:r>
        <w:t>MediVita SE könnte argumentieren, dass die fehlende eCMR-Integration ein Indiz für mangelnde GDP-Konformität des Transports ist</w:t>
      </w:r>
    </w:p>
    <w:p>
      <w:pPr>
        <w:pStyle w:val="ListBullet"/>
      </w:pPr>
      <w:r>
        <w:t>Lückenhafte Tachographen-Protokollierung erschwert die Verteidigung gegen den Art. 29-Vorwurf</w:t>
      </w:r>
    </w:p>
    <w:p>
      <w:pPr>
        <w:pStyle w:val="ListBullet"/>
      </w:pPr>
      <w:r>
        <w:t>TruckMind-Protokolldaten könnten als Beweismittel dienen (Routenplanung, Haltepositionen)</w:t>
      </w:r>
    </w:p>
    <w:p>
      <w:pPr>
        <w:jc w:val="left"/>
      </w:pPr>
      <w:r>
        <w:rPr>
          <w:b/>
        </w:rPr>
        <w:t>Empfehlung:</w:t>
      </w:r>
      <w:r>
        <w:t xml:space="preserve"> TruckMind-Protokolldaten für den 12./14. Januar 2026 sofort sichern (Beweissicherung).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Schwarmstedt Logistik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Schwarmstedt Logistik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