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Klageerwiderung LG Hannover 9 O 244/26 — Strategie und Struktur</w:t>
      </w:r>
    </w:p>
    <w:p>
      <w:pPr>
        <w:jc w:val="left"/>
      </w:pPr>
      <w:r>
        <w:t>Akte: LG Hannover 9 O 244/26 (Beklagte: Schwarmstedt Logistik GmbH)</w:t>
      </w:r>
    </w:p>
    <w:p>
      <w:pPr>
        <w:jc w:val="left"/>
      </w:pPr>
      <w:r>
        <w:t>Verfasserin: RAin Dr. Antonia Hammerschmidt</w:t>
      </w:r>
    </w:p>
    <w:p>
      <w:pPr>
        <w:jc w:val="left"/>
      </w:pPr>
      <w:r>
        <w:t>Stand: 15. April 2026</w:t>
      </w:r>
    </w:p>
    <w:p/>
    <w:p>
      <w:pPr>
        <w:pStyle w:val="Heading2"/>
      </w:pPr>
      <w:r>
        <w:rPr>
          <w:rFonts w:ascii="Times New Roman" w:hAnsi="Times New Roman"/>
        </w:rPr>
        <w:t>1. Prozesssituation</w:t>
      </w:r>
    </w:p>
    <w:p>
      <w:pPr>
        <w:pStyle w:val="Heading3"/>
      </w:pPr>
      <w:r>
        <w:rPr>
          <w:rFonts w:ascii="Times New Roman" w:hAnsi="Times New Roman"/>
        </w:rPr>
        <w:t>1.1 Klage der MediVita SE</w:t>
      </w:r>
    </w:p>
    <w:p>
      <w:pPr>
        <w:jc w:val="left"/>
      </w:pPr>
      <w:r>
        <w:t>MediVita SE hat am 02. März 2026 Klage beim LG Hannover eingereicht. Streitwert: 8.458.000 EUR (8.208.000 EUR Warenvernichtung + 250.000 EUR Folgeschäden). Das LG Hannover hat den Streitwert vorläufig auf 8.458.000 EUR festgesetzt; zuständige Kammer: Kammer für Handelssachen (13. Kammer, Vorsitz: Vorsitzende Richterin am LG Dr. Helga Krumbach).</w:t>
      </w:r>
    </w:p>
    <w:p>
      <w:pPr>
        <w:pStyle w:val="Heading3"/>
      </w:pPr>
      <w:r>
        <w:rPr>
          <w:rFonts w:ascii="Times New Roman" w:hAnsi="Times New Roman"/>
        </w:rPr>
        <w:t>1.2 Frist und Verfahren</w:t>
      </w:r>
    </w:p>
    <w:p>
      <w:pPr>
        <w:jc w:val="left"/>
      </w:pPr>
      <w:r>
        <w:t>Klagezustellung an Schwarmstedt Logistik GmbH: 12. März 2026</w:t>
      </w:r>
    </w:p>
    <w:p>
      <w:pPr>
        <w:jc w:val="left"/>
      </w:pPr>
      <w:r>
        <w:t>Frist zur Klageerwiderung: 08. April 2026 (gesetzt durch LG)</w:t>
      </w:r>
    </w:p>
    <w:p>
      <w:pPr>
        <w:jc w:val="left"/>
      </w:pPr>
      <w:r>
        <w:t>Verlängerung beantragt und gewährt bis: 15. Mai 2026</w:t>
      </w:r>
    </w:p>
    <w:p>
      <w:pPr>
        <w:pStyle w:val="Heading3"/>
      </w:pPr>
      <w:r>
        <w:rPr>
          <w:rFonts w:ascii="Times New Roman" w:hAnsi="Times New Roman"/>
        </w:rPr>
        <w:t>1.3 Klageanträge der MediVita SE (paraphrasiert)</w:t>
      </w:r>
    </w:p>
    <w:p>
      <w:pPr>
        <w:pStyle w:val="ListNumber"/>
      </w:pPr>
      <w:r>
        <w:t>Die Beklagte wird verurteilt, an die Klägerin 8.208.000 EUR nebst Zinsen in Höhe von 5 Prozentpunkten über dem Basiszinssatz seit 22. Januar 2026 zu zahlen.</w:t>
      </w:r>
    </w:p>
    <w:p>
      <w:pPr>
        <w:pStyle w:val="ListNumber"/>
      </w:pPr>
      <w:r>
        <w:t>Die Beklagte wird verurteilt, an die Klägerin weitere 250.000 EUR für Folgeschäden (endgültige Bezifferung vorbehalten) zu zahlen.</w:t>
      </w:r>
    </w:p>
    <w:p>
      <w:pPr>
        <w:pStyle w:val="ListNumber"/>
      </w:pPr>
      <w:r>
        <w:t>Die Beklagte trägt die Kosten des Rechtsstreits.</w:t>
      </w:r>
    </w:p>
    <w:p/>
    <w:p>
      <w:pPr>
        <w:pStyle w:val="Heading2"/>
      </w:pPr>
      <w:r>
        <w:rPr>
          <w:rFonts w:ascii="Times New Roman" w:hAnsi="Times New Roman"/>
        </w:rPr>
        <w:t>2. Klagebegründung MediVita SE (Zusammenfassung)</w:t>
      </w:r>
    </w:p>
    <w:p>
      <w:pPr>
        <w:jc w:val="left"/>
      </w:pPr>
      <w:r>
        <w:t>MediVita SE stützt ihren Anspruch auf Art. 17 Abs. 1 CMR (Grundhaftung) und verneint die Anwendbarkeit der Haftungshöchstgrenze des Art. 23 Abs. 3 CMR mit folgenden Argumenten:</w:t>
      </w:r>
    </w:p>
    <w:p>
      <w:pPr>
        <w:jc w:val="left"/>
      </w:pPr>
      <w:r>
        <w:rPr>
          <w:b/>
        </w:rPr>
        <w:t>Zu Art. 29 CMR:</w:t>
      </w:r>
      <w:r>
        <w:t xml:space="preserve"> Schwarmstedt habe grob fahrlässig gehandelt, indem sie:</w:t>
      </w:r>
    </w:p>
    <w:p>
      <w:pPr>
        <w:jc w:val="left"/>
      </w:pPr>
      <w:r>
        <w:t>(a) Petrescu Transport SRL ohne ordnungsgemäße GDP-Qualifizierung beauftragt habe</w:t>
      </w:r>
    </w:p>
    <w:p>
      <w:pPr>
        <w:jc w:val="left"/>
      </w:pPr>
      <w:r>
        <w:t>(b) den Fahrer nicht zu Mindestüberwachungsintervallen während Nachtfahrten verpflichtet habe</w:t>
      </w:r>
    </w:p>
    <w:p>
      <w:pPr>
        <w:jc w:val="left"/>
      </w:pPr>
      <w:r>
        <w:t>(c) eine Sub-Sub-Vergabe ohne Vertragsklauseln verboten habe, aber keine Kontrollmechanismen eingeführt habe</w:t>
      </w:r>
    </w:p>
    <w:p>
      <w:pPr>
        <w:jc w:val="left"/>
      </w:pPr>
      <w:r>
        <w:rPr>
          <w:b/>
        </w:rPr>
        <w:t>Zu Art. 3 CMR:</w:t>
      </w:r>
      <w:r>
        <w:t xml:space="preserve"> Das Verschulden des Fahrers Catalin Petrescu (Unterlassung der Temperaturüberwachung über sechs Stunden) sei Schwarmstedt wie eigenes Verschulden zuzurechnen.</w:t>
      </w:r>
    </w:p>
    <w:p>
      <w:pPr>
        <w:jc w:val="left"/>
      </w:pPr>
      <w:r>
        <w:rPr>
          <w:b/>
        </w:rPr>
        <w:t>Zu den Folgeschäden:</w:t>
      </w:r>
      <w:r>
        <w:t xml:space="preserve"> Die Universitätsklinik Lyon musste die betroffenen Patienten auf alternative Therapien umstellen; dies habe Mehrkosten von 250.000 EUR verursacht (Beweis: Rechnung HCL Lyon vom 05. Februar 2026).</w:t>
      </w:r>
    </w:p>
    <w:p/>
    <w:p>
      <w:pPr>
        <w:pStyle w:val="Heading2"/>
      </w:pPr>
      <w:r>
        <w:rPr>
          <w:rFonts w:ascii="Times New Roman" w:hAnsi="Times New Roman"/>
        </w:rPr>
        <w:t>3. Klageerwiderung — Gliederung und Argumente</w:t>
      </w:r>
    </w:p>
    <w:p>
      <w:pPr>
        <w:pStyle w:val="Heading3"/>
      </w:pPr>
      <w:r>
        <w:rPr>
          <w:rFonts w:ascii="Times New Roman" w:hAnsi="Times New Roman"/>
        </w:rPr>
        <w:t>3.1 Zur Zulässigkeit</w:t>
      </w:r>
    </w:p>
    <w:p>
      <w:pPr>
        <w:jc w:val="left"/>
      </w:pPr>
      <w:r>
        <w:t>Keine Einwände gegen Zuständigkeit des LG Hannover (§ 17 Abs. 1 ZPO, Beklagtengerichtsstand).</w:t>
      </w:r>
    </w:p>
    <w:p>
      <w:pPr>
        <w:pStyle w:val="Heading3"/>
      </w:pPr>
      <w:r>
        <w:rPr>
          <w:rFonts w:ascii="Times New Roman" w:hAnsi="Times New Roman"/>
        </w:rPr>
        <w:t>3.2 Zur Begründetheit — Primäre Verteidigung: Art. 23 Abs. 3 CMR</w:t>
      </w:r>
    </w:p>
    <w:p>
      <w:pPr>
        <w:jc w:val="left"/>
      </w:pPr>
      <w:r>
        <w:rPr>
          <w:b/>
        </w:rPr>
        <w:t>A. Art. 23 Abs. 3 CMR — Haftungsbegrenzung ist anwendbar</w:t>
      </w:r>
    </w:p>
    <w:p>
      <w:pPr>
        <w:jc w:val="left"/>
      </w:pPr>
      <w:r>
        <w:t>Schwarmstedt bestreitet nicht die Grundhaftung nach Art. 17 Abs. 1 CMR. Schwarmstedt bestreitet jedoch das Vorliegen eines Art. 29-Sachverhalts. Die Haftung ist daher auf 8,33 SZR/kg × 348 kg = 2.898,84 SZR ≈ 3.603 EUR begrenzt.</w:t>
      </w:r>
    </w:p>
    <w:p>
      <w:pPr>
        <w:jc w:val="left"/>
      </w:pPr>
      <w:r>
        <w:t>Die Beweislast für Art. 29 CMR liegt bei der Klägerin (BGH I ZR 128/00; OLG Hamburg 6 U 62/14). MediVita SE hat keinen ausreichenden Beweis für leichtfertiges Handeln und Bewusstsein der Wahrscheinlichkeit des Schadenseintritts vorgelegt.</w:t>
      </w:r>
    </w:p>
    <w:p>
      <w:pPr>
        <w:jc w:val="left"/>
      </w:pPr>
      <w:r>
        <w:rPr>
          <w:b/>
        </w:rPr>
        <w:t>B. Kein grobes Verschulden im Sinne von Art. 29 CMR</w:t>
      </w:r>
    </w:p>
    <w:p>
      <w:pPr>
        <w:jc w:val="left"/>
      </w:pPr>
      <w:r>
        <w:t>(i) Die technische Ursache des Kühlkettenbruchs ist unklar. Sachverständiger Prof. Dr. Kretschmann (TU Hamburg) hält einen technischen Kühlaggregat-Defekt für wahrscheinlicher als Fahrerverschulden.</w:t>
      </w:r>
    </w:p>
    <w:p>
      <w:pPr>
        <w:jc w:val="left"/>
      </w:pPr>
      <w:r>
        <w:t>(ii) Das Schlafen des Fahrers während der gesetzlich vorgeschriebenen Ruhezeit (nach VO (EG) 561/2006) ist kein leichtfertiges Handeln. Der Fahrer hat sich an die Pflicht zur Einhaltung der Ruhezeiten gehalten; er kann nicht gleichzeitig ruhen und aktiv Temperatur überwachen.</w:t>
      </w:r>
    </w:p>
    <w:p>
      <w:pPr>
        <w:jc w:val="left"/>
      </w:pPr>
      <w:r>
        <w:t>(iii) Der DataTrack 4000 Alarm hat nach bisherigen Erkenntnissen nicht ausgelöst — möglicherweise wegen eines Gerätefehlers oder eines GSM-Funkloch-Problems. Dies ist der Sphäre des technischen Versagens zuzuordnen, nicht dem Fahrerverschulden.</w:t>
      </w:r>
    </w:p>
    <w:p>
      <w:pPr>
        <w:jc w:val="left"/>
      </w:pPr>
      <w:r>
        <w:t>(iv) Schwarmstedt hat Petrescu Transport SRL seit zwei Jahren ohne Beanstandungen eingesetzt; eine vertiefte Qualifizierung nach GDP war nach den damals angewandten Standards nicht üblich für Subfrachtführer (zu klären: Branchenstandard 2025/2026).</w:t>
      </w:r>
    </w:p>
    <w:p>
      <w:pPr>
        <w:jc w:val="left"/>
      </w:pPr>
      <w:r>
        <w:rPr>
          <w:b/>
        </w:rPr>
        <w:t>C. Fehlen von Wertdeklaration und Sonderinteresse</w:t>
      </w:r>
    </w:p>
    <w:p>
      <w:pPr>
        <w:jc w:val="left"/>
      </w:pPr>
      <w:r>
        <w:t>MediVita SE hat keine Wertdeklaration nach Art. 24 CMR im Frachtbrief vorgenommen. Sie hat kein Sonderinteresse nach Art. 26 CMR erklärt. Bei einem Warenwert von 12,4 Mio. EUR wäre eine solche Deklaration geboten gewesen. Das Unterlassen der Deklaration begründet ein erhebliches Mitverschulden des Versenders (§ 254 BGB analog, Art. 17 Abs. 5 CMR).</w:t>
      </w:r>
    </w:p>
    <w:p>
      <w:pPr>
        <w:jc w:val="left"/>
      </w:pPr>
      <w:r>
        <w:rPr>
          <w:b/>
        </w:rPr>
        <w:t>D. Streit über Schadensbetrag</w:t>
      </w:r>
    </w:p>
    <w:p>
      <w:pPr>
        <w:jc w:val="left"/>
      </w:pPr>
      <w:r>
        <w:t>Die Vernichtung von 95 Vials (anstelle der 144 Vials gesamt) ist durch das Privatgutachten QS-Report MV-2026-001 behauptet, aber nicht durch ein gerichtliches Sachverständigengutachten bestätigt. Schwarmstedt bestreitet, dass tatsächlich 95 Vials vollständig unbrauchbar waren; möglicherweise wären die Vials in kälteren Laderaumbereichen weniger betroffen gewesen. Antrag auf Einholung eines Sachverständigengutachtens durch das Gericht.</w:t>
      </w:r>
    </w:p>
    <w:p>
      <w:pPr>
        <w:pStyle w:val="Heading3"/>
      </w:pPr>
      <w:r>
        <w:rPr>
          <w:rFonts w:ascii="Times New Roman" w:hAnsi="Times New Roman"/>
        </w:rPr>
        <w:t>3.3 Zur Folgeschadenforderung (250.000 EUR)</w:t>
      </w:r>
    </w:p>
    <w:p>
      <w:pPr>
        <w:jc w:val="left"/>
      </w:pPr>
      <w:r>
        <w:t>MediVita SE hat pauschal Folgeschäden von 250.000 EUR behauptet (Rechnung HCL Lyon). Diese Folgeschäden sind:</w:t>
      </w:r>
    </w:p>
    <w:p>
      <w:pPr>
        <w:jc w:val="left"/>
      </w:pPr>
      <w:r>
        <w:t>(a) nach Art. 23 Abs. 1 CMR nicht als "Entschädigung für den Verlust" zu erstatten (CMR sieht kein Folgeschadenersatz vor)</w:t>
      </w:r>
    </w:p>
    <w:p>
      <w:pPr>
        <w:jc w:val="left"/>
      </w:pPr>
      <w:r>
        <w:t>(b) nach Art. 23 Abs. 5 CMR allenfalls die Fracht (4.800 EUR) zu erstatten</w:t>
      </w:r>
    </w:p>
    <w:p>
      <w:pPr>
        <w:jc w:val="left"/>
      </w:pPr>
      <w:r>
        <w:t>(c) Die Folgeschäden der HCL Lyon (Patientenbehandlungskosten) sind "mittelbare Schäden" (Consequential Damages), die nach h.M. unter der CMR nicht erstattungsfähig sind (OLG München, Urt. v. 28.11.2012 — 7 U 1398/12, TranspR 2013, 107)</w:t>
      </w:r>
    </w:p>
    <w:p>
      <w:pPr>
        <w:pStyle w:val="Heading3"/>
      </w:pPr>
      <w:r>
        <w:rPr>
          <w:rFonts w:ascii="Times New Roman" w:hAnsi="Times New Roman"/>
        </w:rPr>
        <w:t>3.4 Beweisangebote der Beklagten</w:t>
      </w:r>
    </w:p>
    <w:p>
      <w:pPr>
        <w:pStyle w:val="ListBullet"/>
      </w:pPr>
      <w:r>
        <w:t>Sachverständigengutachten Prof. Dr. Kretschmann (Kühltechnik, Schadensursache, Alarmversagen)</w:t>
      </w:r>
    </w:p>
    <w:p>
      <w:pPr>
        <w:pStyle w:val="ListBullet"/>
      </w:pPr>
      <w:r>
        <w:t>Zeuge Fahrer Catalin Petrescu (zu Fahrtablauf, Alarmwahrnehmung, Ruhezeitprotokoll)</w:t>
      </w:r>
    </w:p>
    <w:p>
      <w:pPr>
        <w:pStyle w:val="ListBullet"/>
      </w:pPr>
      <w:r>
        <w:t>Zeuge Eberhard Funkbruch (Subunternehmerauswahl, GDP-Maßnahmen)</w:t>
      </w:r>
    </w:p>
    <w:p>
      <w:pPr>
        <w:pStyle w:val="ListBullet"/>
      </w:pPr>
      <w:r>
        <w:t>Urkundenbeweis: DataTrack 4000-Rohdaten, Wartungsprotokoll Kühlaggregat, Subfrachtvertrag, ADR-Bescheinigung Petrescu</w:t>
      </w:r>
    </w:p>
    <w:p/>
    <w:p>
      <w:pPr>
        <w:pStyle w:val="Heading2"/>
      </w:pPr>
      <w:r>
        <w:rPr>
          <w:rFonts w:ascii="Times New Roman" w:hAnsi="Times New Roman"/>
        </w:rPr>
        <w:t>4. Verfahrensstrategie</w:t>
      </w:r>
    </w:p>
    <w:p>
      <w:pPr>
        <w:pStyle w:val="Heading3"/>
      </w:pPr>
      <w:r>
        <w:rPr>
          <w:rFonts w:ascii="Times New Roman" w:hAnsi="Times New Roman"/>
        </w:rPr>
        <w:t>4.1 Primärziel</w:t>
      </w:r>
    </w:p>
    <w:p>
      <w:pPr>
        <w:jc w:val="left"/>
      </w:pPr>
      <w:r>
        <w:t>Abweisung der Klage abzüglich des CMR-Haftungshöchstbetrags von ca. 3.603 EUR. Realistischer Vergleichskorridor: 50.000–150.000 EUR (Kombination aus Haftungshöchstgrenze CMR + ggf. ex gratia-Zahlung zur Vermeidung der Art. 29-Risiken).</w:t>
      </w:r>
    </w:p>
    <w:p>
      <w:pPr>
        <w:pStyle w:val="Heading3"/>
      </w:pPr>
      <w:r>
        <w:rPr>
          <w:rFonts w:ascii="Times New Roman" w:hAnsi="Times New Roman"/>
        </w:rPr>
        <w:t>4.2 Sekundärziel (falls Art. 29 bejaht werden sollte)</w:t>
      </w:r>
    </w:p>
    <w:p>
      <w:pPr>
        <w:jc w:val="left"/>
      </w:pPr>
      <w:r>
        <w:t>Deckung durch Helvetia (Police 74-SL-8832-2024, max. 2.500.000 EUR) zu erstreiten; Regress gegen Petrescu Transport SRL (Art. 37 CMR) parallel betreiben.</w:t>
      </w:r>
    </w:p>
    <w:p>
      <w:pPr>
        <w:pStyle w:val="Heading3"/>
      </w:pPr>
      <w:r>
        <w:rPr>
          <w:rFonts w:ascii="Times New Roman" w:hAnsi="Times New Roman"/>
        </w:rPr>
        <w:t>4.3 Zeitachse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Datum</w:t>
            </w:r>
          </w:p>
        </w:tc>
      </w:tr>
      <w:tr>
        <w:tc>
          <w:tcPr>
            <w:tcW w:type="dxa" w:w="4536"/>
          </w:tcPr>
          <w:p>
            <w:r>
              <w:rPr>
                <w:rFonts w:ascii="Times New Roman" w:hAnsi="Times New Roman"/>
                <w:sz w:val="20"/>
              </w:rPr>
              <w:t>Klageerwiderung einreichen</w:t>
            </w:r>
          </w:p>
        </w:tc>
        <w:tc>
          <w:tcPr>
            <w:tcW w:type="dxa" w:w="4536"/>
          </w:tcPr>
          <w:p>
            <w:r>
              <w:rPr>
                <w:rFonts w:ascii="Times New Roman" w:hAnsi="Times New Roman"/>
                <w:sz w:val="20"/>
              </w:rPr>
              <w:t>15. Mai 2026</w:t>
            </w:r>
          </w:p>
        </w:tc>
      </w:tr>
      <w:tr>
        <w:tc>
          <w:tcPr>
            <w:tcW w:type="dxa" w:w="4536"/>
          </w:tcPr>
          <w:p>
            <w:r>
              <w:rPr>
                <w:rFonts w:ascii="Times New Roman" w:hAnsi="Times New Roman"/>
                <w:sz w:val="20"/>
              </w:rPr>
              <w:t>Erste mündliche Verhandlung (voraussichtlich)</w:t>
            </w:r>
          </w:p>
        </w:tc>
        <w:tc>
          <w:tcPr>
            <w:tcW w:type="dxa" w:w="4536"/>
          </w:tcPr>
          <w:p>
            <w:r>
              <w:rPr>
                <w:rFonts w:ascii="Times New Roman" w:hAnsi="Times New Roman"/>
                <w:sz w:val="20"/>
              </w:rPr>
              <w:t>September 2026</w:t>
            </w:r>
          </w:p>
        </w:tc>
      </w:tr>
      <w:tr>
        <w:tc>
          <w:tcPr>
            <w:tcW w:type="dxa" w:w="4536"/>
          </w:tcPr>
          <w:p>
            <w:r>
              <w:rPr>
                <w:rFonts w:ascii="Times New Roman" w:hAnsi="Times New Roman"/>
                <w:sz w:val="20"/>
              </w:rPr>
              <w:t>Sachverständigengutachten Kretschmann (formell)</w:t>
            </w:r>
          </w:p>
        </w:tc>
        <w:tc>
          <w:tcPr>
            <w:tcW w:type="dxa" w:w="4536"/>
          </w:tcPr>
          <w:p>
            <w:r>
              <w:rPr>
                <w:rFonts w:ascii="Times New Roman" w:hAnsi="Times New Roman"/>
                <w:sz w:val="20"/>
              </w:rPr>
              <w:t>Herbst 2026</w:t>
            </w:r>
          </w:p>
        </w:tc>
      </w:tr>
      <w:tr>
        <w:tc>
          <w:tcPr>
            <w:tcW w:type="dxa" w:w="4536"/>
          </w:tcPr>
          <w:p>
            <w:r>
              <w:rPr>
                <w:rFonts w:ascii="Times New Roman" w:hAnsi="Times New Roman"/>
                <w:sz w:val="20"/>
              </w:rPr>
              <w:t>Urteil erste Instanz (Schätzung)</w:t>
            </w:r>
          </w:p>
        </w:tc>
        <w:tc>
          <w:tcPr>
            <w:tcW w:type="dxa" w:w="4536"/>
          </w:tcPr>
          <w:p>
            <w:r>
              <w:rPr>
                <w:rFonts w:ascii="Times New Roman" w:hAnsi="Times New Roman"/>
                <w:sz w:val="20"/>
              </w:rPr>
              <w:t>Q1/Q2 2027</w:t>
            </w:r>
          </w:p>
        </w:tc>
      </w:tr>
      <w:tr>
        <w:tc>
          <w:tcPr>
            <w:tcW w:type="dxa" w:w="4536"/>
          </w:tcPr>
          <w:p>
            <w:r>
              <w:rPr>
                <w:rFonts w:ascii="Times New Roman" w:hAnsi="Times New Roman"/>
                <w:sz w:val="20"/>
              </w:rPr>
              <w:t>Berufung (OLG Celle) — falls erforderlich</w:t>
            </w:r>
          </w:p>
        </w:tc>
        <w:tc>
          <w:tcPr>
            <w:tcW w:type="dxa" w:w="4536"/>
          </w:tcPr>
          <w:p>
            <w:r>
              <w:rPr>
                <w:rFonts w:ascii="Times New Roman" w:hAnsi="Times New Roman"/>
                <w:sz w:val="20"/>
              </w:rPr>
              <w:t>Q3 2027</w:t>
            </w:r>
          </w:p>
        </w:tc>
      </w:tr>
    </w:tbl>
    <w:p/>
    <w:p>
      <w:pPr>
        <w:pStyle w:val="Heading2"/>
      </w:pPr>
      <w:r>
        <w:rPr>
          <w:rFonts w:ascii="Times New Roman" w:hAnsi="Times New Roman"/>
        </w:rPr>
        <w:t>5. Kostenrisiko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Szenario</w:t>
            </w:r>
          </w:p>
        </w:tc>
        <w:tc>
          <w:tcPr>
            <w:tcW w:type="dxa" w:w="4536"/>
          </w:tcPr>
          <w:p>
            <w:r>
              <w:rPr>
                <w:rFonts w:ascii="Times New Roman" w:hAnsi="Times New Roman"/>
                <w:b/>
                <w:sz w:val="20"/>
              </w:rPr>
              <w:t>Kostenrisiko Schwarmstedt</w:t>
            </w:r>
          </w:p>
        </w:tc>
      </w:tr>
      <w:tr>
        <w:tc>
          <w:tcPr>
            <w:tcW w:type="dxa" w:w="4536"/>
          </w:tcPr>
          <w:p>
            <w:r>
              <w:rPr>
                <w:rFonts w:ascii="Times New Roman" w:hAnsi="Times New Roman"/>
                <w:sz w:val="20"/>
              </w:rPr>
              <w:t>Voll-Verurteilung (Art. 29 CMR bejaht)</w:t>
            </w:r>
          </w:p>
        </w:tc>
        <w:tc>
          <w:tcPr>
            <w:tcW w:type="dxa" w:w="4536"/>
          </w:tcPr>
          <w:p>
            <w:r>
              <w:rPr>
                <w:rFonts w:ascii="Times New Roman" w:hAnsi="Times New Roman"/>
                <w:sz w:val="20"/>
              </w:rPr>
              <w:t>8.458.000 EUR + Zinsen + Kosten ca. 400.000 EUR</w:t>
            </w:r>
          </w:p>
        </w:tc>
      </w:tr>
      <w:tr>
        <w:tc>
          <w:tcPr>
            <w:tcW w:type="dxa" w:w="4536"/>
          </w:tcPr>
          <w:p>
            <w:r>
              <w:rPr>
                <w:rFonts w:ascii="Times New Roman" w:hAnsi="Times New Roman"/>
                <w:sz w:val="20"/>
              </w:rPr>
              <w:t>Teilverurteilung (Art. 23 CMR gilt, kein Art. 29)</w:t>
            </w:r>
          </w:p>
        </w:tc>
        <w:tc>
          <w:tcPr>
            <w:tcW w:type="dxa" w:w="4536"/>
          </w:tcPr>
          <w:p>
            <w:r>
              <w:rPr>
                <w:rFonts w:ascii="Times New Roman" w:hAnsi="Times New Roman"/>
                <w:sz w:val="20"/>
              </w:rPr>
              <w:t>ca. 3.603 EUR + anteilige Kosten</w:t>
            </w:r>
          </w:p>
        </w:tc>
      </w:tr>
      <w:tr>
        <w:tc>
          <w:tcPr>
            <w:tcW w:type="dxa" w:w="4536"/>
          </w:tcPr>
          <w:p>
            <w:r>
              <w:rPr>
                <w:rFonts w:ascii="Times New Roman" w:hAnsi="Times New Roman"/>
                <w:sz w:val="20"/>
              </w:rPr>
              <w:t>Vergleich</w:t>
            </w:r>
          </w:p>
        </w:tc>
        <w:tc>
          <w:tcPr>
            <w:tcW w:type="dxa" w:w="4536"/>
          </w:tcPr>
          <w:p>
            <w:r>
              <w:rPr>
                <w:rFonts w:ascii="Times New Roman" w:hAnsi="Times New Roman"/>
                <w:sz w:val="20"/>
              </w:rPr>
              <w:t>Vergleichssumme + eigene Anwaltskosten</w:t>
            </w:r>
          </w:p>
        </w:tc>
      </w:tr>
      <w:tr>
        <w:tc>
          <w:tcPr>
            <w:tcW w:type="dxa" w:w="4536"/>
          </w:tcPr>
          <w:p>
            <w:r>
              <w:rPr>
                <w:rFonts w:ascii="Times New Roman" w:hAnsi="Times New Roman"/>
                <w:sz w:val="20"/>
              </w:rPr>
              <w:t>Vollständige Klageabweisung</w:t>
            </w:r>
          </w:p>
        </w:tc>
        <w:tc>
          <w:tcPr>
            <w:tcW w:type="dxa" w:w="4536"/>
          </w:tcPr>
          <w:p>
            <w:r>
              <w:rPr>
                <w:rFonts w:ascii="Times New Roman" w:hAnsi="Times New Roman"/>
                <w:sz w:val="20"/>
              </w:rPr>
              <w:t>Nur eigene Anwaltskosten (ca. 120.000 EUR bei Streitwert 8,4 Mio.)</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Schwarmstedt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Schwarmstedt Logistik GmbH</w:t>
    </w:r>
  </w:p>
  <w:p>
    <w:pPr>
      <w:jc w:val="left"/>
      <w:pBdr>
        <w:bottom w:val="single" w:sz="6" w:space="2" w:color="7B2D3B"/>
      </w:pBdr>
    </w:pPr>
    <w:r>
      <w:rPr>
        <w:rFonts w:ascii="Times New Roman" w:hAnsi="Times New Roman"/>
        <w:color w:val="6B6B66"/>
        <w:sz w:val="16"/>
      </w:rPr>
      <w:t>Unternehmen · 9 O 244/26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