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Mandantenbericht und Kanzleistrategie — Stand April 2026</w:t>
      </w:r>
    </w:p>
    <w:p>
      <w:pPr>
        <w:jc w:val="left"/>
      </w:pPr>
      <w:r>
        <w:t>An: Herrn Eberhard Funkbruch, Geschäftsführer, Schwarmstedt Logistik GmbH</w:t>
      </w:r>
    </w:p>
    <w:p>
      <w:pPr>
        <w:jc w:val="left"/>
      </w:pPr>
      <w:r>
        <w:t>Von: RAin Dr. Antonia Hammerschmidt</w:t>
      </w:r>
    </w:p>
    <w:p>
      <w:pPr>
        <w:jc w:val="left"/>
      </w:pPr>
      <w:r>
        <w:t>Datum: 28. April 2026</w:t>
      </w:r>
    </w:p>
    <w:p>
      <w:pPr>
        <w:jc w:val="left"/>
      </w:pPr>
      <w:r>
        <w:t>Betreff: Laufende Verfahren — Statusübersicht und strategische Empfehlungen</w:t>
      </w:r>
    </w:p>
    <w:p/>
    <w:p>
      <w:pPr>
        <w:pStyle w:val="Heading2"/>
      </w:pPr>
      <w:r>
        <w:rPr>
          <w:rFonts w:ascii="Times New Roman" w:hAnsi="Times New Roman"/>
        </w:rPr>
        <w:t>1. Zusammenfassende Lagebewertung</w:t>
      </w:r>
    </w:p>
    <w:p>
      <w:pPr>
        <w:jc w:val="left"/>
      </w:pPr>
      <w:r>
        <w:t>Sehr geehrter Herr Funkbruch,</w:t>
      </w:r>
    </w:p>
    <w:p>
      <w:pPr>
        <w:jc w:val="left"/>
      </w:pPr>
      <w:r>
        <w:t>ich möchte Ihnen nach nunmehr sechs Wochen Mandatsführung einen umfassenden Überblick über alle laufenden Verfahren sowie meine aktuellen strategischen Empfehlungen geben. Ich wende mich bewusst an Sie als Unternehmer, nicht als Juristen — ich werde daher versuchen, die wesentlichen Punkte klar und ohne übermäßiges Fachjargon darzustellen.</w:t>
      </w:r>
    </w:p>
    <w:p>
      <w:pPr>
        <w:jc w:val="left"/>
      </w:pPr>
      <w:r>
        <w:rPr>
          <w:b/>
        </w:rPr>
        <w:t>Kernerkenntnis:</w:t>
      </w:r>
      <w:r>
        <w:t xml:space="preserve"> Ihr Unternehmen befindet sich in einer schwerwiegenden, aber nicht aussichtslosen Situation. Der kritische Punkt in allen Verfahren ist die Frage, ob der Kühlkettenbruch auf einem Fahrzeugtechnik-Defekt (was Ihre Haftung erheblich begrenzen würde) oder auf einem Fahrerfehler (was die Haftungsobergrenzen gefährden würde) beruht. Die Sachverständigenarbeit von Prof. Kretschmann ist deshalb von größter strategischer Bedeutung.</w:t>
      </w:r>
    </w:p>
    <w:p/>
    <w:p>
      <w:pPr>
        <w:pStyle w:val="Heading2"/>
      </w:pPr>
      <w:r>
        <w:rPr>
          <w:rFonts w:ascii="Times New Roman" w:hAnsi="Times New Roman"/>
        </w:rPr>
        <w:t>2. Verfahren LG Hannover 9 O 244/26 (Hauptsache)</w:t>
      </w:r>
    </w:p>
    <w:p>
      <w:pPr>
        <w:jc w:val="left"/>
      </w:pPr>
      <w:r>
        <w:rPr>
          <w:b/>
        </w:rPr>
        <w:t>Gegen Schwarmstedt klagende Partei:</w:t>
      </w:r>
      <w:r>
        <w:t xml:space="preserve"> MediVita SE (Pottwitz Stinkmorchel)</w:t>
      </w:r>
    </w:p>
    <w:p>
      <w:pPr>
        <w:jc w:val="left"/>
      </w:pPr>
      <w:r>
        <w:rPr>
          <w:b/>
        </w:rPr>
        <w:t>Forderung:</w:t>
      </w:r>
      <w:r>
        <w:t xml:space="preserve"> 8.458.000 EUR</w:t>
      </w:r>
    </w:p>
    <w:p>
      <w:pPr>
        <w:jc w:val="left"/>
      </w:pPr>
      <w:r>
        <w:rPr>
          <w:b/>
        </w:rPr>
        <w:t>Verfahrensstand:</w:t>
      </w:r>
    </w:p>
    <w:p>
      <w:pPr>
        <w:pStyle w:val="ListBullet"/>
      </w:pPr>
      <w:r>
        <w:t>Klageerwiderung wird bis 15. Mai 2026 eingereicht (verlängerte Frist)</w:t>
      </w:r>
    </w:p>
    <w:p>
      <w:pPr>
        <w:pStyle w:val="ListBullet"/>
      </w:pPr>
      <w:r>
        <w:t>Sachverständigengutachten Kretschmann (schriftlich) bis 30. April 2026 erwartet</w:t>
      </w:r>
    </w:p>
    <w:p>
      <w:pPr>
        <w:pStyle w:val="ListBullet"/>
      </w:pPr>
      <w:r>
        <w:t>Erste mündliche Verhandlung: September/Oktober 2026 (voraussichtlich)</w:t>
      </w:r>
    </w:p>
    <w:p>
      <w:pPr>
        <w:jc w:val="left"/>
      </w:pPr>
      <w:r>
        <w:rPr>
          <w:b/>
        </w:rPr>
        <w:t>Strategische Einschätzung:</w:t>
      </w:r>
    </w:p>
    <w:p>
      <w:pPr>
        <w:jc w:val="left"/>
      </w:pPr>
      <w:r>
        <w:t>Das Verfahren dreht sich um eine zentrale Rechtsfrage: Gilt die CMR-Haftungshöchstgrenze (ca. 3.603 EUR) oder nicht? Wenn ja, ist der Fall faktisch gewonnen — MediVita wird kaum für einen Betrag von 3.603 EUR das Verfahren bis zum Ende führen. Wenn nicht (weil Art. 29 CMR greift), droht eine Verurteilung von bis zu 8.458.000 EUR.</w:t>
      </w:r>
    </w:p>
    <w:p>
      <w:pPr>
        <w:jc w:val="left"/>
      </w:pPr>
      <w:r>
        <w:t>Die Carrier eTrack-Protokolldaten (Kühlaggregat-Fehlerlog) sind der Schlüssel. Wenn diese einen technischen Defekt belegen, ist Art. 29 CMR sehr wahrscheinlich nicht anwendbar. Ich erwarte, dass Petrescu Transport SRL diese Daten innerhalb von zwei Wochen liefert; falls nicht, werde ich gerichtliche Schritte einleiten (§ 142 ZPO — Urkundenvorlegung).</w:t>
      </w:r>
    </w:p>
    <w:p>
      <w:pPr>
        <w:jc w:val="left"/>
      </w:pPr>
      <w:r>
        <w:rPr>
          <w:b/>
        </w:rPr>
        <w:t>Risikobewertung:</w:t>
      </w:r>
    </w:p>
    <w:p>
      <w:pPr>
        <w:pStyle w:val="ListBullet"/>
      </w:pPr>
      <w:r>
        <w:t>Optimistisches Szenario: Klageabweisung (bis auf ca. 3.603 EUR) nach SV-Gutachten; Wahrscheinlichkeit: 55%</w:t>
      </w:r>
    </w:p>
    <w:p>
      <w:pPr>
        <w:pStyle w:val="ListBullet"/>
      </w:pPr>
      <w:r>
        <w:t>Mittleres Szenario: Vergleich bei ca. 100.000–300.000 EUR; Wahrscheinlichkeit: 30%</w:t>
      </w:r>
    </w:p>
    <w:p>
      <w:pPr>
        <w:pStyle w:val="ListBullet"/>
      </w:pPr>
      <w:r>
        <w:t>Ungünstiges Szenario: Verurteilung 8.458.000 EUR; Wahrscheinlichkeit: 15%</w:t>
      </w:r>
    </w:p>
    <w:p>
      <w:pPr>
        <w:jc w:val="left"/>
      </w:pPr>
      <w:r>
        <w:rPr>
          <w:b/>
        </w:rPr>
        <w:t>Ihre Handlung:</w:t>
      </w:r>
      <w:r>
        <w:t xml:space="preserve"> Stellen Sie sicher, dass die Carrier Transicold-Reparaturwerkstatt die eTrack-Daten aus dem Kühlaggregat-Speicher abruft, </w:t>
      </w:r>
      <w:r>
        <w:rPr>
          <w:b/>
        </w:rPr>
        <w:t>bevor</w:t>
      </w:r>
      <w:r>
        <w:t xml:space="preserve"> eine Wartung oder ein Austausch des Aggregats stattfindet. Dieses Protokoll könnte den Ausgang des Verfahrens entscheiden.</w:t>
      </w:r>
    </w:p>
    <w:p/>
    <w:p>
      <w:pPr>
        <w:pStyle w:val="Heading2"/>
      </w:pPr>
      <w:r>
        <w:rPr>
          <w:rFonts w:ascii="Times New Roman" w:hAnsi="Times New Roman"/>
        </w:rPr>
        <w:t>3. Verfahren LG Hamburg 327 O 88/26 (Helvetia-Klage)</w:t>
      </w:r>
    </w:p>
    <w:p>
      <w:pPr>
        <w:jc w:val="left"/>
      </w:pPr>
      <w:r>
        <w:rPr>
          <w:b/>
        </w:rPr>
        <w:t>Streitwert:</w:t>
      </w:r>
      <w:r>
        <w:t xml:space="preserve"> 2.500.000 EUR (Versicherungsdeckung)</w:t>
      </w:r>
    </w:p>
    <w:p>
      <w:pPr>
        <w:jc w:val="left"/>
      </w:pPr>
      <w:r>
        <w:rPr>
          <w:b/>
        </w:rPr>
        <w:t>Verfahrensstand:</w:t>
      </w:r>
    </w:p>
    <w:p>
      <w:pPr>
        <w:pStyle w:val="ListBullet"/>
      </w:pPr>
      <w:r>
        <w:t>Klage eingereicht 15. März 2026</w:t>
      </w:r>
    </w:p>
    <w:p>
      <w:pPr>
        <w:pStyle w:val="ListBullet"/>
      </w:pPr>
      <w:r>
        <w:t>Klagebegründung bis 22. April 2026 (Frist gesetzt durch LG Hamburg)</w:t>
      </w:r>
    </w:p>
    <w:p>
      <w:pPr>
        <w:pStyle w:val="ListBullet"/>
      </w:pPr>
      <w:r>
        <w:t>Noch keine Zustellung an Helvetia</w:t>
      </w:r>
    </w:p>
    <w:p>
      <w:pPr>
        <w:jc w:val="left"/>
      </w:pPr>
      <w:r>
        <w:rPr>
          <w:b/>
        </w:rPr>
        <w:t>Strategische Einschätzung:</w:t>
      </w:r>
    </w:p>
    <w:p>
      <w:pPr>
        <w:jc w:val="left"/>
      </w:pPr>
      <w:r>
        <w:t>Die Helvetia-Klage steht und fällt mit der Frage, wann "Kenntnis" von dem Versicherungsfall im Sinne der AVB-72h-Frist eintrat. Ich halte Ihre Position — Kenntnis erst mit dem QS-Gutachten am 17. Januar 2026, also 48 Stunden vor Ihrer Meldung — für vertretbar. Außerdem greife ich die 72-Stunden-Klausel selbst als möglicherweise AGB-unwirksam an.</w:t>
      </w:r>
    </w:p>
    <w:p>
      <w:pPr>
        <w:jc w:val="left"/>
      </w:pPr>
      <w:r>
        <w:t>Selbst wenn wir verlieren: Der Schaden von ca. 3.603 EUR (CMR-Haftungshöchstgrenze) ist ohne Versicherungsdeckung für Sie tragbar. Wenn Art. 29 CMR bejaht wird, wird die Versicherungsdeckung von 2.500.000 EUR entscheidend wichtig.</w:t>
      </w:r>
    </w:p>
    <w:p>
      <w:pPr>
        <w:jc w:val="left"/>
      </w:pPr>
      <w:r>
        <w:rPr>
          <w:b/>
        </w:rPr>
        <w:t>Empfehlung:</w:t>
      </w:r>
      <w:r>
        <w:t xml:space="preserve"> Parallel zur Klage gegen Helvetia: Prüfen Sie, ob Sie über Ihren Versicherungsmakler eine "Without Prejudice"-Einigung mit Helvetia anstreben können. Manchmal ist ein Vergleich auf Versicherungsebene günstiger als ein langer Prozess.</w:t>
      </w:r>
    </w:p>
    <w:p/>
    <w:p>
      <w:pPr>
        <w:pStyle w:val="Heading2"/>
      </w:pPr>
      <w:r>
        <w:rPr>
          <w:rFonts w:ascii="Times New Roman" w:hAnsi="Times New Roman"/>
        </w:rPr>
        <w:t>4. Bußgeldverfahren AG Hannover OWi 31a OWi 4188 Js 7711/26</w:t>
      </w:r>
    </w:p>
    <w:p>
      <w:pPr>
        <w:jc w:val="left"/>
      </w:pPr>
      <w:r>
        <w:rPr>
          <w:b/>
        </w:rPr>
        <w:t>Bußgeld:</w:t>
      </w:r>
      <w:r>
        <w:t xml:space="preserve"> 25.000 EUR (Schwarmstedt) + 250 EUR (Fahrer Petrescu, separat)</w:t>
      </w:r>
    </w:p>
    <w:p>
      <w:pPr>
        <w:jc w:val="left"/>
      </w:pPr>
      <w:r>
        <w:rPr>
          <w:b/>
        </w:rPr>
        <w:t>Verfahrensstand:</w:t>
      </w:r>
    </w:p>
    <w:p>
      <w:pPr>
        <w:pStyle w:val="ListBullet"/>
      </w:pPr>
      <w:r>
        <w:t>Einspruch eingelegt 13. März 2026</w:t>
      </w:r>
    </w:p>
    <w:p>
      <w:pPr>
        <w:pStyle w:val="ListBullet"/>
      </w:pPr>
      <w:r>
        <w:t>Verhandlungstermin noch nicht bestimmt (voraussichtlich Mai/Juni 2026)</w:t>
      </w:r>
    </w:p>
    <w:p>
      <w:pPr>
        <w:jc w:val="left"/>
      </w:pPr>
      <w:r>
        <w:rPr>
          <w:b/>
        </w:rPr>
        <w:t>Strategische Einschätzung:</w:t>
      </w:r>
    </w:p>
    <w:p>
      <w:pPr>
        <w:jc w:val="left"/>
      </w:pPr>
      <w:r>
        <w:t>Das Hauptargument ist stark: Schwarmstedt hat Petrescu Transport SRL (mit gültiger Lizenz) beauftragt; die Sub-Sub-Vergabe an Cojocaru Flota war ein Alleingang Petrescus ohne Ihr Wissen. Die OLG Celle-Rechtsprechung stützt diese Position.</w:t>
      </w:r>
    </w:p>
    <w:p>
      <w:pPr>
        <w:jc w:val="left"/>
      </w:pPr>
      <w:r>
        <w:rPr>
          <w:b/>
        </w:rPr>
        <w:t>Erfolgschance Einspruch:</w:t>
      </w:r>
      <w:r>
        <w:t xml:space="preserve"> 70–75 %</w:t>
      </w:r>
    </w:p>
    <w:p>
      <w:pPr>
        <w:jc w:val="left"/>
      </w:pPr>
      <w:r>
        <w:rPr>
          <w:b/>
        </w:rPr>
        <w:t>Was zu tun ist:</w:t>
      </w:r>
      <w:r>
        <w:t xml:space="preserve"> Beschaffen Sie alle Dokumente, die belegen, dass Sie bei der Beauftragung von Petrescu Transport SRL deren Lizenz geprüft haben (EU-Lizenznummer, Ablaufdatum). Falls Sie eine E-Mail oder ein Formular haben, mit dem Sie die Lizenz abgefragt haben — perfekt. Falls nicht, müssen wir mit der Aussage von Herrn Funkbruch und den vorhandenen Vertragsdokumenten arbeiten.</w:t>
      </w:r>
    </w:p>
    <w:p/>
    <w:p>
      <w:pPr>
        <w:pStyle w:val="Heading2"/>
      </w:pPr>
      <w:r>
        <w:rPr>
          <w:rFonts w:ascii="Times New Roman" w:hAnsi="Times New Roman"/>
        </w:rPr>
        <w:t>5. Ermittlungsverfahren StA Hannover 9300 UJs 21188/26 (Embargo)</w:t>
      </w:r>
    </w:p>
    <w:p>
      <w:pPr>
        <w:jc w:val="left"/>
      </w:pPr>
      <w:r>
        <w:rPr>
          <w:b/>
        </w:rPr>
        <w:t>Status:</w:t>
      </w:r>
      <w:r>
        <w:t xml:space="preserve"> Vorermittlung; Schwarmstedt ist Beschuldigter</w:t>
      </w:r>
    </w:p>
    <w:p>
      <w:pPr>
        <w:jc w:val="left"/>
      </w:pPr>
      <w:r>
        <w:rPr>
          <w:b/>
        </w:rPr>
        <w:t>Strategische Einschätzung:</w:t>
      </w:r>
    </w:p>
    <w:p>
      <w:pPr>
        <w:jc w:val="left"/>
      </w:pPr>
      <w:r>
        <w:t>Das Ermittlungsverfahren ist das gefährlichste, weil es persönliche strafrechtliche Konsequenzen für Sie als Geschäftsführer haben kann. Gleichzeitig ist die Beweislage nach meiner vorläufigen Einschätzung günstig: Es gibt keine Belege dafür, dass Sie oder Ihr Unternehmen von der Weiterleitung an den sanktionierten Empfänger wussten.</w:t>
      </w:r>
    </w:p>
    <w:p>
      <w:pPr>
        <w:jc w:val="left"/>
      </w:pPr>
      <w:r>
        <w:rPr>
          <w:b/>
        </w:rPr>
        <w:t>Was ich von Ihnen brauche:</w:t>
      </w:r>
    </w:p>
    <w:p>
      <w:pPr>
        <w:pStyle w:val="ListNumber"/>
      </w:pPr>
      <w:r>
        <w:t>Alle Dokumente zum Sammeltransport Dezember 2025 (Auftragsbestätigung, CMR-Frachtbrief, Kommunikation mit Gintec Generics, Kommunikation mit Iberische Pharmadistribution)</w:t>
      </w:r>
    </w:p>
    <w:p>
      <w:pPr>
        <w:pStyle w:val="ListNumber"/>
      </w:pPr>
      <w:r>
        <w:t>Keine weiteren Erklärungen gegenüber dem Zollfahndungsamt ohne meine Anwesenheit</w:t>
      </w:r>
    </w:p>
    <w:p>
      <w:pPr>
        <w:pStyle w:val="ListNumber"/>
      </w:pPr>
      <w:r>
        <w:t>Beratungsgespräch zur Selbstanzeige-Option (kurzfristig, innerhalb der nächsten zwei Wochen)</w:t>
      </w:r>
    </w:p>
    <w:p/>
    <w:p>
      <w:pPr>
        <w:pStyle w:val="Heading2"/>
      </w:pPr>
      <w:r>
        <w:rPr>
          <w:rFonts w:ascii="Times New Roman" w:hAnsi="Times New Roman"/>
        </w:rPr>
        <w:t>6. Frachtdiebstahl / Allianz Marine (iPad-Sendung)</w:t>
      </w:r>
    </w:p>
    <w:p>
      <w:pPr>
        <w:jc w:val="left"/>
      </w:pPr>
      <w:r>
        <w:rPr>
          <w:b/>
        </w:rPr>
        <w:t>Status:</w:t>
      </w:r>
      <w:r>
        <w:t xml:space="preserve"> Außergerichtlich; Widerspruchsschreiben in Vorbereitung</w:t>
      </w:r>
    </w:p>
    <w:p>
      <w:pPr>
        <w:jc w:val="left"/>
      </w:pPr>
      <w:r>
        <w:rPr>
          <w:b/>
        </w:rPr>
        <w:t>Empfehlung:</w:t>
      </w:r>
      <w:r>
        <w:t xml:space="preserve"> Hier haben wir gute Argumente gegen die Klausel 4.3. Ich schlage vor, zunächst außergerichtlich zu verhandeln und dem Allianz-Schadensreferenten (Dr. Ahlbrecht) unser Widerspruchsschreiben zu senden. Falls keine Einigung: Klage.</w:t>
      </w:r>
    </w:p>
    <w:p/>
    <w:p>
      <w:pPr>
        <w:pStyle w:val="Heading2"/>
      </w:pPr>
      <w:r>
        <w:rPr>
          <w:rFonts w:ascii="Times New Roman" w:hAnsi="Times New Roman"/>
        </w:rPr>
        <w:t>7. Boeschke-Regress (Überladung)</w:t>
      </w:r>
    </w:p>
    <w:p>
      <w:pPr>
        <w:jc w:val="left"/>
      </w:pPr>
      <w:r>
        <w:rPr>
          <w:b/>
        </w:rPr>
        <w:t>Status:</w:t>
      </w:r>
      <w:r>
        <w:t xml:space="preserve"> Außergerichtlich; Klage vorbereitet</w:t>
      </w:r>
    </w:p>
    <w:p>
      <w:pPr>
        <w:jc w:val="left"/>
      </w:pPr>
      <w:r>
        <w:rPr>
          <w:b/>
        </w:rPr>
        <w:t>Empfehlung:</w:t>
      </w:r>
      <w:r>
        <w:t xml:space="preserve"> Nach Ablauf der Zahlungsfrist 30. April 2026 werde ich Klage beim LG Hamburg einreichen. Streitwert: 34.600 EUR + weitere vorbehaltene Schäden.</w:t>
      </w:r>
    </w:p>
    <w:p/>
    <w:p>
      <w:pPr>
        <w:pStyle w:val="Heading2"/>
      </w:pPr>
      <w:r>
        <w:rPr>
          <w:rFonts w:ascii="Times New Roman" w:hAnsi="Times New Roman"/>
        </w:rPr>
        <w:t>8. Dringende Compliance-Maßnahmen</w:t>
      </w:r>
    </w:p>
    <w:p>
      <w:pPr>
        <w:jc w:val="left"/>
      </w:pPr>
      <w:r>
        <w:t>Unabhängig von den laufenden Verfahren empfehle ich dringend:</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Maßnahme</w:t>
            </w:r>
          </w:p>
        </w:tc>
        <w:tc>
          <w:tcPr>
            <w:tcW w:type="dxa" w:w="3024"/>
          </w:tcPr>
          <w:p>
            <w:r>
              <w:rPr>
                <w:rFonts w:ascii="Times New Roman" w:hAnsi="Times New Roman"/>
                <w:b/>
                <w:sz w:val="20"/>
              </w:rPr>
              <w:t>Warum</w:t>
            </w:r>
          </w:p>
        </w:tc>
        <w:tc>
          <w:tcPr>
            <w:tcW w:type="dxa" w:w="3024"/>
          </w:tcPr>
          <w:p>
            <w:r>
              <w:rPr>
                <w:rFonts w:ascii="Times New Roman" w:hAnsi="Times New Roman"/>
                <w:b/>
                <w:sz w:val="20"/>
              </w:rPr>
              <w:t>Frist</w:t>
            </w:r>
          </w:p>
        </w:tc>
      </w:tr>
      <w:tr>
        <w:tc>
          <w:tcPr>
            <w:tcW w:type="dxa" w:w="3024"/>
          </w:tcPr>
          <w:p>
            <w:r>
              <w:rPr>
                <w:rFonts w:ascii="Times New Roman" w:hAnsi="Times New Roman"/>
                <w:sz w:val="20"/>
              </w:rPr>
              <w:t>Sanktionslisten-Screening-Software einführen (z.B. Dow Jones Risk &amp; Compliance)</w:t>
            </w:r>
          </w:p>
        </w:tc>
        <w:tc>
          <w:tcPr>
            <w:tcW w:type="dxa" w:w="3024"/>
          </w:tcPr>
          <w:p>
            <w:r>
              <w:rPr>
                <w:rFonts w:ascii="Times New Roman" w:hAnsi="Times New Roman"/>
                <w:sz w:val="20"/>
              </w:rPr>
              <w:t>Vermeidung weiterer Embargo-Risiken; zeigt Behörden Kooperationsbereitschaft</w:t>
            </w:r>
          </w:p>
        </w:tc>
        <w:tc>
          <w:tcPr>
            <w:tcW w:type="dxa" w:w="3024"/>
          </w:tcPr>
          <w:p>
            <w:r>
              <w:rPr>
                <w:rFonts w:ascii="Times New Roman" w:hAnsi="Times New Roman"/>
                <w:sz w:val="20"/>
              </w:rPr>
              <w:t>Sofort</w:t>
            </w:r>
          </w:p>
        </w:tc>
      </w:tr>
      <w:tr>
        <w:tc>
          <w:tcPr>
            <w:tcW w:type="dxa" w:w="3024"/>
          </w:tcPr>
          <w:p>
            <w:r>
              <w:rPr>
                <w:rFonts w:ascii="Times New Roman" w:hAnsi="Times New Roman"/>
                <w:sz w:val="20"/>
              </w:rPr>
              <w:t>Auftragsverarbeitungsvertrag mit TruckMind Solutions GmbH abschließen</w:t>
            </w:r>
          </w:p>
        </w:tc>
        <w:tc>
          <w:tcPr>
            <w:tcW w:type="dxa" w:w="3024"/>
          </w:tcPr>
          <w:p>
            <w:r>
              <w:rPr>
                <w:rFonts w:ascii="Times New Roman" w:hAnsi="Times New Roman"/>
                <w:sz w:val="20"/>
              </w:rPr>
              <w:t>Datenschutzpflicht; Bußgeldrisiko DSGVO 4% Jahresumsatz</w:t>
            </w:r>
          </w:p>
        </w:tc>
        <w:tc>
          <w:tcPr>
            <w:tcW w:type="dxa" w:w="3024"/>
          </w:tcPr>
          <w:p>
            <w:r>
              <w:rPr>
                <w:rFonts w:ascii="Times New Roman" w:hAnsi="Times New Roman"/>
                <w:sz w:val="20"/>
              </w:rPr>
              <w:t>30. April 2026</w:t>
            </w:r>
          </w:p>
        </w:tc>
      </w:tr>
      <w:tr>
        <w:tc>
          <w:tcPr>
            <w:tcW w:type="dxa" w:w="3024"/>
          </w:tcPr>
          <w:p>
            <w:r>
              <w:rPr>
                <w:rFonts w:ascii="Times New Roman" w:hAnsi="Times New Roman"/>
                <w:sz w:val="20"/>
              </w:rPr>
              <w:t>GDP-Subunternehmer-Qualifizierungsprotokoll einführen</w:t>
            </w:r>
          </w:p>
        </w:tc>
        <w:tc>
          <w:tcPr>
            <w:tcW w:type="dxa" w:w="3024"/>
          </w:tcPr>
          <w:p>
            <w:r>
              <w:rPr>
                <w:rFonts w:ascii="Times New Roman" w:hAnsi="Times New Roman"/>
                <w:sz w:val="20"/>
              </w:rPr>
              <w:t>Abwehr zukünftiger Art. 29 CMR-Vorwürfe</w:t>
            </w:r>
          </w:p>
        </w:tc>
        <w:tc>
          <w:tcPr>
            <w:tcW w:type="dxa" w:w="3024"/>
          </w:tcPr>
          <w:p>
            <w:r>
              <w:rPr>
                <w:rFonts w:ascii="Times New Roman" w:hAnsi="Times New Roman"/>
                <w:sz w:val="20"/>
              </w:rPr>
              <w:t>Q2 2026</w:t>
            </w:r>
          </w:p>
        </w:tc>
      </w:tr>
      <w:tr>
        <w:tc>
          <w:tcPr>
            <w:tcW w:type="dxa" w:w="3024"/>
          </w:tcPr>
          <w:p>
            <w:r>
              <w:rPr>
                <w:rFonts w:ascii="Times New Roman" w:hAnsi="Times New Roman"/>
                <w:sz w:val="20"/>
              </w:rPr>
              <w:t>Tachographen-Tages-Download-Routine für alle eigenen Fahrer</w:t>
            </w:r>
          </w:p>
        </w:tc>
        <w:tc>
          <w:tcPr>
            <w:tcW w:type="dxa" w:w="3024"/>
          </w:tcPr>
          <w:p>
            <w:r>
              <w:rPr>
                <w:rFonts w:ascii="Times New Roman" w:hAnsi="Times New Roman"/>
                <w:sz w:val="20"/>
              </w:rPr>
              <w:t>BALM-Kontrollen abwehren</w:t>
            </w:r>
          </w:p>
        </w:tc>
        <w:tc>
          <w:tcPr>
            <w:tcW w:type="dxa" w:w="3024"/>
          </w:tcPr>
          <w:p>
            <w:r>
              <w:rPr>
                <w:rFonts w:ascii="Times New Roman" w:hAnsi="Times New Roman"/>
                <w:sz w:val="20"/>
              </w:rPr>
              <w:t>Sofort</w:t>
            </w:r>
          </w:p>
        </w:tc>
      </w:tr>
      <w:tr>
        <w:tc>
          <w:tcPr>
            <w:tcW w:type="dxa" w:w="3024"/>
          </w:tcPr>
          <w:p>
            <w:r>
              <w:rPr>
                <w:rFonts w:ascii="Times New Roman" w:hAnsi="Times New Roman"/>
                <w:sz w:val="20"/>
              </w:rPr>
              <w:t>Wöchentliche Temperaturlogger-Auswertungsroutine im Pharmatransport</w:t>
            </w:r>
          </w:p>
        </w:tc>
        <w:tc>
          <w:tcPr>
            <w:tcW w:type="dxa" w:w="3024"/>
          </w:tcPr>
          <w:p>
            <w:r>
              <w:rPr>
                <w:rFonts w:ascii="Times New Roman" w:hAnsi="Times New Roman"/>
                <w:sz w:val="20"/>
              </w:rPr>
              <w:t>GDP-Konformität</w:t>
            </w:r>
          </w:p>
        </w:tc>
        <w:tc>
          <w:tcPr>
            <w:tcW w:type="dxa" w:w="3024"/>
          </w:tcPr>
          <w:p>
            <w:r>
              <w:rPr>
                <w:rFonts w:ascii="Times New Roman" w:hAnsi="Times New Roman"/>
                <w:sz w:val="20"/>
              </w:rPr>
              <w:t>Q2 2026</w:t>
            </w:r>
          </w:p>
        </w:tc>
      </w:tr>
    </w:tbl>
    <w:p>
      <w:pPr>
        <w:jc w:val="left"/>
      </w:pPr>
      <w:r>
        <w:t>Diese Maßnahmen dienen nicht nur der Compliance, sondern demonstrieren gegenüber dem Gericht und den Behörden, dass Ihr Unternehmen strukturell verantwortungsvoll handelt — was für die Bewertung nach Art. 29 CMR und im Strafverfahren von Bedeutung ist.</w:t>
      </w:r>
    </w:p>
    <w:p/>
    <w:p>
      <w:pPr>
        <w:pStyle w:val="Heading2"/>
      </w:pPr>
      <w:r>
        <w:rPr>
          <w:rFonts w:ascii="Times New Roman" w:hAnsi="Times New Roman"/>
        </w:rPr>
        <w:t>9. Kostenübersicht (Stand April 2026)</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rFonts w:ascii="Times New Roman" w:hAnsi="Times New Roman"/>
                <w:b/>
                <w:sz w:val="20"/>
              </w:rPr>
              <w:t>Verfahren</w:t>
            </w:r>
          </w:p>
        </w:tc>
        <w:tc>
          <w:tcPr>
            <w:tcW w:type="dxa" w:w="2268"/>
          </w:tcPr>
          <w:p>
            <w:r>
              <w:rPr>
                <w:rFonts w:ascii="Times New Roman" w:hAnsi="Times New Roman"/>
                <w:b/>
                <w:sz w:val="20"/>
              </w:rPr>
              <w:t>Bisherige Anwaltskosten</w:t>
            </w:r>
          </w:p>
        </w:tc>
        <w:tc>
          <w:tcPr>
            <w:tcW w:type="dxa" w:w="2268"/>
          </w:tcPr>
          <w:p>
            <w:r>
              <w:rPr>
                <w:rFonts w:ascii="Times New Roman" w:hAnsi="Times New Roman"/>
                <w:b/>
                <w:sz w:val="20"/>
              </w:rPr>
              <w:t>Prozesskostenvorschuss</w:t>
            </w:r>
          </w:p>
        </w:tc>
        <w:tc>
          <w:tcPr>
            <w:tcW w:type="dxa" w:w="2268"/>
          </w:tcPr>
          <w:p>
            <w:r>
              <w:rPr>
                <w:rFonts w:ascii="Times New Roman" w:hAnsi="Times New Roman"/>
                <w:b/>
                <w:sz w:val="20"/>
              </w:rPr>
              <w:t>Bußgeld</w:t>
            </w:r>
          </w:p>
        </w:tc>
      </w:tr>
      <w:tr>
        <w:tc>
          <w:tcPr>
            <w:tcW w:type="dxa" w:w="2268"/>
          </w:tcPr>
          <w:p>
            <w:r>
              <w:rPr>
                <w:rFonts w:ascii="Times New Roman" w:hAnsi="Times New Roman"/>
                <w:sz w:val="20"/>
              </w:rPr>
              <w:t>LG Hannover 9 O 244/26</w:t>
            </w:r>
          </w:p>
        </w:tc>
        <w:tc>
          <w:tcPr>
            <w:tcW w:type="dxa" w:w="2268"/>
          </w:tcPr>
          <w:p>
            <w:r>
              <w:rPr>
                <w:rFonts w:ascii="Times New Roman" w:hAnsi="Times New Roman"/>
                <w:sz w:val="20"/>
              </w:rPr>
              <w:t>ca. 28.000 EUR</w:t>
            </w:r>
          </w:p>
        </w:tc>
        <w:tc>
          <w:tcPr>
            <w:tcW w:type="dxa" w:w="2268"/>
          </w:tcPr>
          <w:p>
            <w:r>
              <w:rPr>
                <w:rFonts w:ascii="Times New Roman" w:hAnsi="Times New Roman"/>
                <w:sz w:val="20"/>
              </w:rPr>
              <w:t>18.000 EUR</w:t>
            </w:r>
          </w:p>
        </w:tc>
        <w:tc>
          <w:tcPr>
            <w:tcW w:type="dxa" w:w="2268"/>
          </w:tcPr>
          <w:p>
            <w:r>
              <w:rPr>
                <w:rFonts w:ascii="Times New Roman" w:hAnsi="Times New Roman"/>
                <w:sz w:val="20"/>
              </w:rPr>
              <w:t>—</w:t>
            </w:r>
          </w:p>
        </w:tc>
      </w:tr>
      <w:tr>
        <w:tc>
          <w:tcPr>
            <w:tcW w:type="dxa" w:w="2268"/>
          </w:tcPr>
          <w:p>
            <w:r>
              <w:rPr>
                <w:rFonts w:ascii="Times New Roman" w:hAnsi="Times New Roman"/>
                <w:sz w:val="20"/>
              </w:rPr>
              <w:t>LG Hamburg 327 O 88/26</w:t>
            </w:r>
          </w:p>
        </w:tc>
        <w:tc>
          <w:tcPr>
            <w:tcW w:type="dxa" w:w="2268"/>
          </w:tcPr>
          <w:p>
            <w:r>
              <w:rPr>
                <w:rFonts w:ascii="Times New Roman" w:hAnsi="Times New Roman"/>
                <w:sz w:val="20"/>
              </w:rPr>
              <w:t>ca. 8.000 EUR</w:t>
            </w:r>
          </w:p>
        </w:tc>
        <w:tc>
          <w:tcPr>
            <w:tcW w:type="dxa" w:w="2268"/>
          </w:tcPr>
          <w:p>
            <w:r>
              <w:rPr>
                <w:rFonts w:ascii="Times New Roman" w:hAnsi="Times New Roman"/>
                <w:sz w:val="20"/>
              </w:rPr>
              <w:t>8.000 EUR</w:t>
            </w:r>
          </w:p>
        </w:tc>
        <w:tc>
          <w:tcPr>
            <w:tcW w:type="dxa" w:w="2268"/>
          </w:tcPr>
          <w:p>
            <w:r>
              <w:rPr>
                <w:rFonts w:ascii="Times New Roman" w:hAnsi="Times New Roman"/>
                <w:sz w:val="20"/>
              </w:rPr>
              <w:t>—</w:t>
            </w:r>
          </w:p>
        </w:tc>
      </w:tr>
      <w:tr>
        <w:tc>
          <w:tcPr>
            <w:tcW w:type="dxa" w:w="2268"/>
          </w:tcPr>
          <w:p>
            <w:r>
              <w:rPr>
                <w:rFonts w:ascii="Times New Roman" w:hAnsi="Times New Roman"/>
                <w:sz w:val="20"/>
              </w:rPr>
              <w:t>AG Hannover OWi</w:t>
            </w:r>
          </w:p>
        </w:tc>
        <w:tc>
          <w:tcPr>
            <w:tcW w:type="dxa" w:w="2268"/>
          </w:tcPr>
          <w:p>
            <w:r>
              <w:rPr>
                <w:rFonts w:ascii="Times New Roman" w:hAnsi="Times New Roman"/>
                <w:sz w:val="20"/>
              </w:rPr>
              <w:t>ca. 4.500 EUR</w:t>
            </w:r>
          </w:p>
        </w:tc>
        <w:tc>
          <w:tcPr>
            <w:tcW w:type="dxa" w:w="2268"/>
          </w:tcPr>
          <w:p>
            <w:r>
              <w:rPr>
                <w:rFonts w:ascii="Times New Roman" w:hAnsi="Times New Roman"/>
                <w:sz w:val="20"/>
              </w:rPr>
              <w:t>2.000 EUR</w:t>
            </w:r>
          </w:p>
        </w:tc>
        <w:tc>
          <w:tcPr>
            <w:tcW w:type="dxa" w:w="2268"/>
          </w:tcPr>
          <w:p>
            <w:r>
              <w:rPr>
                <w:rFonts w:ascii="Times New Roman" w:hAnsi="Times New Roman"/>
                <w:sz w:val="20"/>
              </w:rPr>
              <w:t>25.000 EUR (streitig)</w:t>
            </w:r>
          </w:p>
        </w:tc>
      </w:tr>
      <w:tr>
        <w:tc>
          <w:tcPr>
            <w:tcW w:type="dxa" w:w="2268"/>
          </w:tcPr>
          <w:p>
            <w:r>
              <w:rPr>
                <w:rFonts w:ascii="Times New Roman" w:hAnsi="Times New Roman"/>
                <w:sz w:val="20"/>
              </w:rPr>
              <w:t>StA Hannover</w:t>
            </w:r>
          </w:p>
        </w:tc>
        <w:tc>
          <w:tcPr>
            <w:tcW w:type="dxa" w:w="2268"/>
          </w:tcPr>
          <w:p>
            <w:r>
              <w:rPr>
                <w:rFonts w:ascii="Times New Roman" w:hAnsi="Times New Roman"/>
                <w:sz w:val="20"/>
              </w:rPr>
              <w:t>ca. 3.500 EUR</w:t>
            </w:r>
          </w:p>
        </w:tc>
        <w:tc>
          <w:tcPr>
            <w:tcW w:type="dxa" w:w="2268"/>
          </w:tcPr>
          <w:p>
            <w:r>
              <w:rPr>
                <w:rFonts w:ascii="Times New Roman" w:hAnsi="Times New Roman"/>
                <w:sz w:val="20"/>
              </w:rPr>
              <w:t>—</w:t>
            </w:r>
          </w:p>
        </w:tc>
        <w:tc>
          <w:tcPr>
            <w:tcW w:type="dxa" w:w="2268"/>
          </w:tcPr>
          <w:p>
            <w:r>
              <w:rPr>
                <w:rFonts w:ascii="Times New Roman" w:hAnsi="Times New Roman"/>
                <w:sz w:val="20"/>
              </w:rPr>
              <w:t>—</w:t>
            </w:r>
          </w:p>
        </w:tc>
      </w:tr>
      <w:tr>
        <w:tc>
          <w:tcPr>
            <w:tcW w:type="dxa" w:w="2268"/>
          </w:tcPr>
          <w:p>
            <w:r>
              <w:rPr>
                <w:rFonts w:ascii="Times New Roman" w:hAnsi="Times New Roman"/>
                <w:sz w:val="20"/>
              </w:rPr>
              <w:t>Allianz Marine</w:t>
            </w:r>
          </w:p>
        </w:tc>
        <w:tc>
          <w:tcPr>
            <w:tcW w:type="dxa" w:w="2268"/>
          </w:tcPr>
          <w:p>
            <w:r>
              <w:rPr>
                <w:rFonts w:ascii="Times New Roman" w:hAnsi="Times New Roman"/>
                <w:sz w:val="20"/>
              </w:rPr>
              <w:t>ca. 2.000 EUR</w:t>
            </w:r>
          </w:p>
        </w:tc>
        <w:tc>
          <w:tcPr>
            <w:tcW w:type="dxa" w:w="2268"/>
          </w:tcPr>
          <w:p>
            <w:r>
              <w:rPr>
                <w:rFonts w:ascii="Times New Roman" w:hAnsi="Times New Roman"/>
                <w:sz w:val="20"/>
              </w:rPr>
              <w:t>—</w:t>
            </w:r>
          </w:p>
        </w:tc>
        <w:tc>
          <w:tcPr>
            <w:tcW w:type="dxa" w:w="2268"/>
          </w:tcPr>
          <w:p>
            <w:r>
              <w:rPr>
                <w:rFonts w:ascii="Times New Roman" w:hAnsi="Times New Roman"/>
                <w:sz w:val="20"/>
              </w:rPr>
              <w:t>—</w:t>
            </w:r>
          </w:p>
        </w:tc>
      </w:tr>
      <w:tr>
        <w:tc>
          <w:tcPr>
            <w:tcW w:type="dxa" w:w="2268"/>
          </w:tcPr>
          <w:p>
            <w:r>
              <w:rPr>
                <w:rFonts w:ascii="Times New Roman" w:hAnsi="Times New Roman"/>
                <w:sz w:val="20"/>
              </w:rPr>
              <w:t>Boeschke</w:t>
            </w:r>
          </w:p>
        </w:tc>
        <w:tc>
          <w:tcPr>
            <w:tcW w:type="dxa" w:w="2268"/>
          </w:tcPr>
          <w:p>
            <w:r>
              <w:rPr>
                <w:rFonts w:ascii="Times New Roman" w:hAnsi="Times New Roman"/>
                <w:sz w:val="20"/>
              </w:rPr>
              <w:t>ca. 2.000 EUR</w:t>
            </w:r>
          </w:p>
        </w:tc>
        <w:tc>
          <w:tcPr>
            <w:tcW w:type="dxa" w:w="2268"/>
          </w:tcPr>
          <w:p>
            <w:r>
              <w:rPr>
                <w:rFonts w:ascii="Times New Roman" w:hAnsi="Times New Roman"/>
                <w:sz w:val="20"/>
              </w:rPr>
              <w:t>2.000 EUR</w:t>
            </w:r>
          </w:p>
        </w:tc>
        <w:tc>
          <w:tcPr>
            <w:tcW w:type="dxa" w:w="2268"/>
          </w:tcPr>
          <w:p>
            <w:r>
              <w:rPr>
                <w:rFonts w:ascii="Times New Roman" w:hAnsi="Times New Roman"/>
                <w:sz w:val="20"/>
              </w:rPr>
              <w:t>—</w:t>
            </w:r>
          </w:p>
        </w:tc>
      </w:tr>
      <w:tr>
        <w:tc>
          <w:tcPr>
            <w:tcW w:type="dxa" w:w="2268"/>
          </w:tcPr>
          <w:p>
            <w:r>
              <w:rPr>
                <w:rFonts w:ascii="Times New Roman" w:hAnsi="Times New Roman"/>
                <w:sz w:val="20"/>
              </w:rPr>
              <w:t>Gesamt</w:t>
            </w:r>
          </w:p>
        </w:tc>
        <w:tc>
          <w:tcPr>
            <w:tcW w:type="dxa" w:w="2268"/>
          </w:tcPr>
          <w:p>
            <w:r>
              <w:rPr>
                <w:rFonts w:ascii="Times New Roman" w:hAnsi="Times New Roman"/>
                <w:sz w:val="20"/>
              </w:rPr>
              <w:t>ca. 48.000 EUR</w:t>
            </w:r>
          </w:p>
        </w:tc>
        <w:tc>
          <w:tcPr>
            <w:tcW w:type="dxa" w:w="2268"/>
          </w:tcPr>
          <w:p>
            <w:r>
              <w:rPr>
                <w:rFonts w:ascii="Times New Roman" w:hAnsi="Times New Roman"/>
                <w:sz w:val="20"/>
              </w:rPr>
              <w:t>30.000 EUR</w:t>
            </w:r>
          </w:p>
        </w:tc>
        <w:tc>
          <w:tcPr>
            <w:tcW w:type="dxa" w:w="2268"/>
          </w:tcPr>
          <w:p>
            <w:r>
              <w:rPr>
                <w:rFonts w:ascii="Times New Roman" w:hAnsi="Times New Roman"/>
                <w:sz w:val="20"/>
              </w:rPr>
              <w:t>25.000 EUR</w:t>
            </w:r>
          </w:p>
        </w:tc>
      </w:tr>
    </w:tbl>
    <w:p>
      <w:pPr>
        <w:jc w:val="left"/>
      </w:pPr>
      <w:r>
        <w:t>Für das weitere Vorgehen ist ein Reservebudget von ca. 200.000 EUR für die nächsten 18 Monate einzuplanen.</w:t>
      </w:r>
    </w:p>
    <w:p>
      <w:pPr>
        <w:jc w:val="left"/>
      </w:pPr>
      <w:r>
        <w:t>Mit freundlichen Grüßen,</w:t>
      </w:r>
    </w:p>
    <w:p>
      <w:pPr>
        <w:jc w:val="left"/>
      </w:pPr>
      <w:r>
        <w:t>RAin Dr. Antonia Hammerschmidt</w:t>
      </w:r>
    </w:p>
    <w:p>
      <w:pPr>
        <w:jc w:val="left"/>
      </w:pPr>
      <w:r>
        <w:t>Hammerschmidt, Sommerfeldt &amp; Partner Rechtsanwälte, Hamburg</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Schwarmstedt Logistik GmbH</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7B2D3B"/>
        <w:sz w:val="24"/>
      </w:rPr>
      <w:t>Schwarmstedt Logistik GmbH</w:t>
    </w:r>
  </w:p>
  <w:p>
    <w:pPr>
      <w:jc w:val="left"/>
      <w:pBdr>
        <w:bottom w:val="single" w:sz="6" w:space="2" w:color="7B2D3B"/>
      </w:pBdr>
    </w:pPr>
    <w:r>
      <w:rPr>
        <w:rFonts w:ascii="Times New Roman" w:hAnsi="Times New Roman"/>
        <w:color w:val="6B6B66"/>
        <w:sz w:val="16"/>
      </w:rPr>
      <w:t>Geschäftsführer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