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Beweismittelverzeichnis und Zeugenübersicht</w:t>
      </w:r>
    </w:p>
    <w:p>
      <w:pPr>
        <w:jc w:val="left"/>
      </w:pPr>
      <w:r>
        <w:t>Akte: Alle Verfahren / Schwarmstedt Logistik GmbH</w:t>
      </w:r>
    </w:p>
    <w:p>
      <w:pPr>
        <w:jc w:val="left"/>
      </w:pPr>
      <w:r>
        <w:t>Verfasserin: RAin Dr. Antonia Hammerschmidt / Frederike Klemm</w:t>
      </w:r>
    </w:p>
    <w:p>
      <w:pPr>
        <w:jc w:val="left"/>
      </w:pPr>
      <w:r>
        <w:t>Stand: 05. Mai 2026</w:t>
      </w:r>
    </w:p>
    <w:p/>
    <w:p>
      <w:pPr>
        <w:pStyle w:val="Heading2"/>
      </w:pPr>
      <w:r>
        <w:rPr>
          <w:rFonts w:ascii="Times New Roman" w:hAnsi="Times New Roman"/>
        </w:rPr>
        <w:t>1. Urkundliche Beweismittel</w:t>
      </w:r>
    </w:p>
    <w:p>
      <w:pPr>
        <w:pStyle w:val="Heading3"/>
      </w:pPr>
      <w:r>
        <w:rPr>
          <w:rFonts w:ascii="Times New Roman" w:hAnsi="Times New Roman"/>
        </w:rPr>
        <w:t>1.1 Kernurkunden CMR-Hauptverfahren (LG Hannover)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Fundort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CMR-Frachtbrief Nr. CMR-2026-DE-001-0018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Speditionsauftrag MediVita (Ref. MV-LOG-2025-8812)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Subfrachtvertrag Schwarmstedt/Petrescu (SL-2025-SUB-1188)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Nov. 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DataTrack 4000 Rohdaten (CSV-Export)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USB-Stick Funkbruch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(auf Server gesichert)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QS-Report MV-2026-001 (MediVita)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Klägerseite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Eingang mit Klageschrift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QS-Bericht HCL-QA-2026-0011 (Lyon)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Klägerseite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Eingang mit Klageschrift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Wartungsprotokoll Kühlaggregat Petrescu (rumänisch)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Petrescu-Übermittlung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Vorhanden; Übersetzung 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ADR-Bescheinigung Catalin Petrescu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18.03.2023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Petrescu-Übermittlung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EU-Gemeinschaftslizenz Petrescu Transport SRL (ROM CIV Nr. B-22-09761)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Gültig bis 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Carrier eTrack-Fehlerprotokoll Kühlaggregat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Jan.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Petrescu-Anforderung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 (angemahnt)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Tachographdaten Catalin Petrescu 12.–14.01.2026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Jan.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BALM-Akte / Petrescu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Teils 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Vorläufiges Gutachten Prof. Kretschmann (TUH-KT-2026-0088)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Urkunden für Helvetia-Verfahren (LG Hamburg)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Versicherungspolice 74-SL-8832-2024 (Helvetia)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 (unvollständig — Bedingungen fehlen)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Deckungsablehnung Helvetia (SL-2026-00198)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Schadensmeldung Schwarmstedt an Versicherungsmakler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Kommunikation Schwarmstedt/MediVita 14.–19.01.2026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 (E-Mail-Verlauf)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AVB-Spedition 2020 (GDV-Muster)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Online-Bezug (GDV-Website)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Police inkl. Bedingungen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Angefordert bei Helvetia — ausstehend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Urkunden OWi-Verfahren (AG Hannover)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BALM-Bußgeldbescheid BALM-BuG 2026-0443-ND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EU-Gemeinschaftslizenz Petrescu Transport SRL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Cojocaru Flota SRL — Laufdauer EU-Lizenz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BALM-Akte — angefordert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Tachographdaten Catalin Petrescu (Lenkzeitverstoß)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Teils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BALM-Grenzkontrollprotokoll (Aachen, 10.01.2026)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Zeugenverzeichnis</w:t>
      </w:r>
    </w:p>
    <w:p>
      <w:pPr>
        <w:pStyle w:val="Heading3"/>
      </w:pPr>
      <w:r>
        <w:rPr>
          <w:rFonts w:ascii="Times New Roman" w:hAnsi="Times New Roman"/>
        </w:rPr>
        <w:t>2.1 Entlastungszeugen Schwarmstedt</w:t>
      </w:r>
    </w:p>
    <w:p>
      <w:pPr>
        <w:jc w:val="left"/>
      </w:pPr>
      <w:r>
        <w:rPr>
          <w:b/>
        </w:rPr>
        <w:t>Zeuge 1: Eberhard Funkbruch</w:t>
      </w:r>
      <w:r>
        <w:t xml:space="preserve"> (Geschäftsführer Schwarmstedt Logistik GmbH)</w:t>
      </w:r>
    </w:p>
    <w:p>
      <w:pPr>
        <w:pStyle w:val="ListBullet"/>
      </w:pPr>
      <w:r>
        <w:t>Zu: Beauftragungsvorgang Petrescu Transport SRL; GDP-Prüfungsmaßnahmen; Kenntnistand am 14.–19. Januar 2026; Sanktionslisten-Compliance</w:t>
      </w:r>
    </w:p>
    <w:p>
      <w:pPr>
        <w:pStyle w:val="ListBullet"/>
      </w:pPr>
      <w:r>
        <w:t>Bewertung: Wichtigster Zeuge; vorbereiten für Anhörung; Widersprüche zur Klageseite vermeiden</w:t>
      </w:r>
    </w:p>
    <w:p>
      <w:pPr>
        <w:pStyle w:val="ListBullet"/>
      </w:pPr>
      <w:r>
        <w:t>Risiken: Direkte Beteiligung am Schadensereignis (Informationsstand); Glaubwürdigkeit hängt von Konsistenz ab</w:t>
      </w:r>
    </w:p>
    <w:p>
      <w:pPr>
        <w:jc w:val="left"/>
      </w:pPr>
      <w:r>
        <w:rPr>
          <w:b/>
        </w:rPr>
        <w:t>Zeuge 2: Georg Hillenbrand</w:t>
      </w:r>
      <w:r>
        <w:t xml:space="preserve"> (LKW-Fahrer, Boeschke-Überladungsfall)</w:t>
      </w:r>
    </w:p>
    <w:p>
      <w:pPr>
        <w:pStyle w:val="ListBullet"/>
      </w:pPr>
      <w:r>
        <w:t>Zu: Übernahme der Ladung bei Boeschke; fehlende Wiegemöglichkeit; kein Überladungsverdacht</w:t>
      </w:r>
    </w:p>
    <w:p>
      <w:pPr>
        <w:pStyle w:val="ListBullet"/>
      </w:pPr>
      <w:r>
        <w:t>Bewertung: Entlastet Schwarmstedt im Überladungsregress; Aussage konsistent mit DEKRA-Gutachten</w:t>
      </w:r>
    </w:p>
    <w:p>
      <w:pPr>
        <w:pStyle w:val="ListBullet"/>
      </w:pPr>
      <w:r>
        <w:t>Risiken: Ist Arbeitnehmer Schwarmstedts — Interessenkonflikt möglich</w:t>
      </w:r>
    </w:p>
    <w:p>
      <w:pPr>
        <w:jc w:val="left"/>
      </w:pPr>
      <w:r>
        <w:rPr>
          <w:b/>
        </w:rPr>
        <w:t>Zeuge 3: Bogdan Petrescu</w:t>
      </w:r>
      <w:r>
        <w:t xml:space="preserve"> (GF Petrescu Transport SRL)</w:t>
      </w:r>
    </w:p>
    <w:p>
      <w:pPr>
        <w:pStyle w:val="ListBullet"/>
      </w:pPr>
      <w:r>
        <w:t>Zu: Entscheidung zur Sub-Sub-Vergabe an Cojocaru Flota (warum, wann, wie)</w:t>
      </w:r>
    </w:p>
    <w:p>
      <w:pPr>
        <w:pStyle w:val="ListBullet"/>
      </w:pPr>
      <w:r>
        <w:t>Bewertung: Belastet Petrescu, entlastet Schwarmstedt (Schwarmstedt hatte keine Kenntnis)</w:t>
      </w:r>
    </w:p>
    <w:p>
      <w:pPr>
        <w:pStyle w:val="ListBullet"/>
      </w:pPr>
      <w:r>
        <w:t>Risiken: Als Bruder des Fahrers Interessenkonflikt; im Regressprozess Gegner; muss in Rumänien geladen werden (Europäisches Gerichtsstandsregime, VO (EG) 1206/2001)</w:t>
      </w:r>
    </w:p>
    <w:p>
      <w:pPr>
        <w:pStyle w:val="Heading3"/>
      </w:pPr>
      <w:r>
        <w:rPr>
          <w:rFonts w:ascii="Times New Roman" w:hAnsi="Times New Roman"/>
        </w:rPr>
        <w:t>2.2 Belastungszeugen (Klägerseite)</w:t>
      </w:r>
    </w:p>
    <w:p>
      <w:pPr>
        <w:jc w:val="left"/>
      </w:pPr>
      <w:r>
        <w:rPr>
          <w:b/>
        </w:rPr>
        <w:t>Zeuge 4: Catalin Petrescu</w:t>
      </w:r>
      <w:r>
        <w:t xml:space="preserve"> (Fahrer)</w:t>
      </w:r>
    </w:p>
    <w:p>
      <w:pPr>
        <w:pStyle w:val="ListBullet"/>
      </w:pPr>
      <w:r>
        <w:t>Zu: Fahrtablauf; Temperaturüberwachung; Alarmwahrnehmung; Ruhezeiten</w:t>
      </w:r>
    </w:p>
    <w:p>
      <w:pPr>
        <w:pStyle w:val="ListBullet"/>
      </w:pPr>
      <w:r>
        <w:t>Bewertung: Klägerseite wird versuchen, Aussage zu nutzen, um Art. 29 CMR zu belegen</w:t>
      </w:r>
    </w:p>
    <w:p>
      <w:pPr>
        <w:pStyle w:val="ListBullet"/>
      </w:pPr>
      <w:r>
        <w:t>Vorbereitung: Klären, ob Petrescu eine Aussage gegen Schwarmstedt machen würde oder ob er die Verantwortung beim Kühlaggregat-Defekt sieht</w:t>
      </w:r>
    </w:p>
    <w:p>
      <w:pPr>
        <w:jc w:val="left"/>
      </w:pPr>
      <w:r>
        <w:rPr>
          <w:b/>
        </w:rPr>
        <w:t>Zeuge 5: Thorsten Quasdorf</w:t>
      </w:r>
      <w:r>
        <w:t xml:space="preserve"> (Director Global Supply Chain MediVita)</w:t>
      </w:r>
    </w:p>
    <w:p>
      <w:pPr>
        <w:pStyle w:val="ListBullet"/>
      </w:pPr>
      <w:r>
        <w:t>Zu: Entscheidung zur Vernichtung der Vials am 25.01.2026; Schadensermittlung; Lieferantenqualifizierung</w:t>
      </w:r>
    </w:p>
    <w:p>
      <w:pPr>
        <w:pStyle w:val="ListBullet"/>
      </w:pPr>
      <w:r>
        <w:t>Bewertung: Klärung, warum Vials ohne Rücksprache mit Schwarmstedt vernichtet wurden; ggf. Mitverschulden MediVita (§ 254 BGB)</w:t>
      </w:r>
    </w:p>
    <w:p>
      <w:pPr>
        <w:pStyle w:val="ListBullet"/>
      </w:pPr>
      <w:r>
        <w:t>Vorbereitung: Gegenbefragung vorbereiten (Vernichtung ohne Gegenprüfung; keine Wertdeklaration im CMR-Frachtbrief)</w:t>
      </w:r>
    </w:p>
    <w:p>
      <w:pPr>
        <w:jc w:val="left"/>
      </w:pPr>
      <w:r>
        <w:rPr>
          <w:b/>
        </w:rPr>
        <w:t>Zeuge 6: Dr. Sabrina Hohenfeldt</w:t>
      </w:r>
      <w:r>
        <w:t xml:space="preserve"> (QP MediVita, QS-Report-Autorin)</w:t>
      </w:r>
    </w:p>
    <w:p>
      <w:pPr>
        <w:pStyle w:val="ListBullet"/>
      </w:pPr>
      <w:r>
        <w:t>Zu: Methodik des QS-Reports; Grundlagen der Einstufung als "nicht freigabefähig"</w:t>
      </w:r>
    </w:p>
    <w:p>
      <w:pPr>
        <w:pStyle w:val="ListBullet"/>
      </w:pPr>
      <w:r>
        <w:t>Bewertung: Kretschmann-Argumente (Box-Innentemperatur, PCM-Pufferung) gegen sie ins Feld führen</w:t>
      </w:r>
    </w:p>
    <w:p>
      <w:pPr>
        <w:pStyle w:val="ListBullet"/>
      </w:pPr>
      <w:r>
        <w:t>Vorbereitung: SEC-HPLC-Ergebnisse (welche Vials wurden tatsächlich analysiert, welche nur rechnerisch eingestuft?)</w:t>
      </w:r>
    </w:p>
    <w:p/>
    <w:p>
      <w:pPr>
        <w:pStyle w:val="Heading2"/>
      </w:pPr>
      <w:r>
        <w:rPr>
          <w:rFonts w:ascii="Times New Roman" w:hAnsi="Times New Roman"/>
        </w:rPr>
        <w:t>3. Sachverständige</w:t>
      </w:r>
    </w:p>
    <w:p>
      <w:pPr>
        <w:pStyle w:val="Heading3"/>
      </w:pPr>
      <w:r>
        <w:rPr>
          <w:rFonts w:ascii="Times New Roman" w:hAnsi="Times New Roman"/>
        </w:rPr>
        <w:t>3.1 Sachverständige Schwarmstedt (Parteigutachter)</w:t>
      </w:r>
    </w:p>
    <w:p>
      <w:pPr>
        <w:jc w:val="left"/>
      </w:pPr>
      <w:r>
        <w:rPr>
          <w:b/>
        </w:rPr>
        <w:t>Prof. Dr.-Ing. Horst Kretschmann</w:t>
      </w:r>
    </w:p>
    <w:p>
      <w:pPr>
        <w:jc w:val="left"/>
      </w:pPr>
      <w:r>
        <w:t>TU Hamburg-Harburg, Institut für Kühltechnik und Thermodynamik</w:t>
      </w:r>
    </w:p>
    <w:p>
      <w:pPr>
        <w:jc w:val="left"/>
      </w:pPr>
      <w:r>
        <w:t>Beauftragt: 20. März 2026</w:t>
      </w:r>
    </w:p>
    <w:p>
      <w:pPr>
        <w:jc w:val="left"/>
      </w:pPr>
      <w:r>
        <w:t>Gutachtenthemen: Schadensursache, DataTrack-Alarmversagen, Box-Innentemperatur, Kausalität Fahrerüberwachung</w:t>
      </w:r>
    </w:p>
    <w:p>
      <w:pPr>
        <w:jc w:val="left"/>
      </w:pPr>
      <w:r>
        <w:t>Status: Vorläufiges Gutachten vorliegend; schriftliches Gutachten bis 30. April 2026 erwartet</w:t>
      </w:r>
    </w:p>
    <w:p>
      <w:pPr>
        <w:pStyle w:val="Heading3"/>
      </w:pPr>
      <w:r>
        <w:rPr>
          <w:rFonts w:ascii="Times New Roman" w:hAnsi="Times New Roman"/>
        </w:rPr>
        <w:t>3.2 Gerichtliche Sachverständige (beantragt)</w:t>
      </w:r>
    </w:p>
    <w:p>
      <w:pPr>
        <w:jc w:val="left"/>
      </w:pPr>
      <w:r>
        <w:t>Im Schriftsatz Klageerwiderung wird beantragt, das LG Hannover möge einen Sachverständigen aus folgenden Bereichen bestellen:</w:t>
      </w:r>
    </w:p>
    <w:p>
      <w:pPr>
        <w:pStyle w:val="ListBullet"/>
      </w:pPr>
      <w:r>
        <w:t>Kühltechnik (Kühlaggregat-Diagnose)</w:t>
      </w:r>
    </w:p>
    <w:p>
      <w:pPr>
        <w:pStyle w:val="ListBullet"/>
      </w:pPr>
      <w:r>
        <w:t>Pharmazeutische Qualitätssicherung (tatsächlicher Schaden an mAb)</w:t>
      </w:r>
    </w:p>
    <w:p>
      <w:pPr>
        <w:jc w:val="left"/>
      </w:pPr>
      <w:r>
        <w:t>Falls Kretschmann als Parteisachverständiger nicht akzeptiert wird, wird seine Bestellung als gerichtlicher Sachverständiger beantragt (Gegner möge Vorschlag machen).</w:t>
      </w:r>
    </w:p>
    <w:p/>
    <w:p>
      <w:pPr>
        <w:pStyle w:val="Heading2"/>
      </w:pPr>
      <w:r>
        <w:rPr>
          <w:rFonts w:ascii="Times New Roman" w:hAnsi="Times New Roman"/>
        </w:rPr>
        <w:t>4. Beweiserhebungsmaßnahmen (offene 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Adressat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Carrier eTrack-Daten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Petrescu Transport SRL / Carrier Transicold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Angefordert — 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Helvetia-Police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3 Nr. 5 VVG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Helvetia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Angefordert — 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BALM-Grenzkontrollprotokoll Aachen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Akteneinsicht OWi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BALM Köln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Tachographdaten (vollständig)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142 ZPO / § 4 FPersG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Petrescu Transport SRL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Teils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Cojocaru Flota SRL — Lizenzstatus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Akteneinsicht OWi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BALM Köln / rumänische Behörden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GSM-Netzabdeckung A6/Bourg-en-Bresse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Amtshilfe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SFR Réseau France (Mobilfunkanbieter)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nicht beantragt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DTCO 3283 Daten-Export (vollständig)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Petrescu / 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Vernichtungsprotokoll Vials MediVita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MediVita 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beantragen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Schwarmstedt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Schwarmstedt Logistik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