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False Friends im Crossborder-Vertragsrecht – Interne Notizen</w:t>
      </w:r>
    </w:p>
    <w:p>
      <w:pPr>
        <w:ind w:left="567"/>
      </w:pPr>
      <w:r>
        <w:rPr>
          <w:b/>
          <w:i/>
        </w:rPr>
        <w:t>Aktenzeichen:</w:t>
      </w:r>
      <w:r>
        <w:rPr>
          <w:i/>
        </w:rPr>
        <w:t xml:space="preserve"> CLC-2024-HH-007</w:t>
      </w:r>
    </w:p>
    <w:p>
      <w:pPr>
        <w:ind w:left="567"/>
      </w:pPr>
      <w:r>
        <w:rPr>
          <w:b/>
          <w:i/>
        </w:rPr>
        <w:t>Datum:</w:t>
      </w:r>
      <w:r>
        <w:rPr>
          <w:i/>
        </w:rPr>
        <w:t xml:space="preserve"> April 2024</w:t>
      </w:r>
    </w:p>
    <w:p>
      <w:pPr>
        <w:ind w:left="567"/>
      </w:pPr>
      <w:r>
        <w:rPr>
          <w:b/>
          <w:i/>
        </w:rPr>
        <w:t>Erstellt von:</w:t>
      </w:r>
      <w:r>
        <w:rPr>
          <w:i/>
        </w:rPr>
        <w:t xml:space="preserve"> RA Thomas Brandt, LL.M. (London), Kanzlei Brandt &amp; Wessel</w:t>
      </w:r>
    </w:p>
    <w:p>
      <w:pPr>
        <w:ind w:left="567"/>
      </w:pPr>
      <w:r>
        <w:rPr>
          <w:b/>
          <w:i/>
        </w:rPr>
        <w:t>Zweck:</w:t>
      </w:r>
      <w:r>
        <w:rPr>
          <w:i/>
        </w:rPr>
        <w:t xml:space="preserve"> Schulungsunterlage für das Management der RheinMain Sensors GmbH; Vorbereitung Verhandlung London</w:t>
      </w:r>
    </w:p>
    <w:p/>
    <w:p>
      <w:pPr>
        <w:pStyle w:val="Heading2"/>
      </w:pPr>
      <w:r>
        <w:rPr>
          <w:rFonts w:ascii="Times New Roman" w:hAnsi="Times New Roman"/>
        </w:rPr>
        <w:t>Einleitung</w:t>
      </w:r>
    </w:p>
    <w:p>
      <w:pPr>
        <w:jc w:val="left"/>
      </w:pPr>
      <w:r>
        <w:t>"False Friends" (faux amis) sind Begriffe, die in zwei Sprachen ähnlich klingen oder geschrieben werden, aber unterschiedliche – teils gegensätzliche – rechtliche Bedeutung haben. Im internationalen Vertragsrecht Deutsch/Englisch führen sie zu erheblichen Missverständnissen und im Streitfall zu unterschiedlicher Auslegung durch Gerichte verschiedener Rechtsordnungen. Die nachfolgende Liste enthält die 25 wichtigsten false friends aus der laufenden Verhandlung sowie aus dem Schiedsrechts- und Gesellschaftsrechtkontext.</w:t>
      </w:r>
    </w:p>
    <w:p/>
    <w:p>
      <w:pPr>
        <w:pStyle w:val="Heading2"/>
      </w:pPr>
      <w:r>
        <w:rPr>
          <w:rFonts w:ascii="Times New Roman" w:hAnsi="Times New Roman"/>
        </w:rPr>
        <w:t>1. Indemnity ≠ Schadensersatz</w:t>
      </w:r>
    </w:p>
    <w:p>
      <w:pPr>
        <w:jc w:val="left"/>
      </w:pPr>
      <w:r>
        <w:rPr>
          <w:b/>
        </w:rPr>
        <w:t>Englischer Begriff:</w:t>
      </w:r>
      <w:r>
        <w:t xml:space="preserve"> </w:t>
      </w:r>
      <w:r>
        <w:rPr>
          <w:i/>
        </w:rPr>
        <w:t>Indemnity</w:t>
      </w:r>
    </w:p>
    <w:p>
      <w:pPr>
        <w:jc w:val="left"/>
      </w:pPr>
      <w:r>
        <w:rPr>
          <w:b/>
        </w:rPr>
        <w:t>Naheliegende deutsche Übersetzung:</w:t>
      </w:r>
      <w:r>
        <w:t xml:space="preserve"> Schadensersatz</w:t>
      </w:r>
    </w:p>
    <w:p>
      <w:pPr>
        <w:jc w:val="left"/>
      </w:pPr>
      <w:r>
        <w:rPr>
          <w:b/>
        </w:rPr>
        <w:t>Tatsächliche Bedeutung:</w:t>
      </w:r>
      <w:r>
        <w:t xml:space="preserve"> Eine Indemnity ist eine </w:t>
      </w:r>
      <w:r>
        <w:rPr>
          <w:b/>
        </w:rPr>
        <w:t>primäre, eigenständige</w:t>
      </w:r>
      <w:r>
        <w:t xml:space="preserve"> Einstandspflicht für Schäden und Aufwendungen eines anderen – unabhängig davon, ob die indemnifying party selbst schuldhaft gehandelt hat. Sie entspricht im deutschen Recht am ehesten einem </w:t>
      </w:r>
      <w:r>
        <w:rPr>
          <w:b/>
        </w:rPr>
        <w:t>Schuldbeitritt (§ 414 BGB)</w:t>
      </w:r>
      <w:r>
        <w:t xml:space="preserve"> oder einer </w:t>
      </w:r>
      <w:r>
        <w:rPr>
          <w:b/>
        </w:rPr>
        <w:t>Freistellungspflicht (§ 257 BGB)</w:t>
      </w:r>
      <w:r>
        <w:t>, nicht jedoch dem Schadensersatzanspruch aus §§ 280 ff. BGB, der Verschulden voraussetzt.</w:t>
      </w:r>
    </w:p>
    <w:p>
      <w:pPr>
        <w:jc w:val="left"/>
      </w:pPr>
      <w:r>
        <w:rPr>
          <w:b/>
        </w:rPr>
        <w:t>Beispiel aus dem Vertragsentwurf:</w:t>
      </w:r>
      <w:r>
        <w:t xml:space="preserve"> </w:t>
      </w:r>
      <w:r>
        <w:rPr>
          <w:i/>
        </w:rPr>
        <w:t>"Buyer shall indemnify Supplier against all losses arising from Buyer's misuse of the Deliverables."</w:t>
      </w:r>
      <w:r>
        <w:t xml:space="preserve"> – Hier haftet der Käufer verschuldensunabhängig für alle Schäden aus Fehlgebrauch, was im deutschen Recht nur durch individuelle Vereinbarung (nicht AGB) möglich ist.</w:t>
      </w:r>
    </w:p>
    <w:p/>
    <w:p>
      <w:pPr>
        <w:pStyle w:val="Heading2"/>
      </w:pPr>
      <w:r>
        <w:rPr>
          <w:rFonts w:ascii="Times New Roman" w:hAnsi="Times New Roman"/>
        </w:rPr>
        <w:t>2. Guarantee ≠ Garantie</w:t>
      </w:r>
    </w:p>
    <w:p>
      <w:pPr>
        <w:jc w:val="left"/>
      </w:pPr>
      <w:r>
        <w:rPr>
          <w:b/>
        </w:rPr>
        <w:t>Englischer Begriff:</w:t>
      </w:r>
      <w:r>
        <w:t xml:space="preserve"> </w:t>
      </w:r>
      <w:r>
        <w:rPr>
          <w:i/>
        </w:rPr>
        <w:t>Guarantee</w:t>
      </w:r>
    </w:p>
    <w:p>
      <w:pPr>
        <w:jc w:val="left"/>
      </w:pPr>
      <w:r>
        <w:rPr>
          <w:b/>
        </w:rPr>
        <w:t>Naheliegende deutsche Übersetzung:</w:t>
      </w:r>
      <w:r>
        <w:t xml:space="preserve"> Garantie</w:t>
      </w:r>
    </w:p>
    <w:p>
      <w:pPr>
        <w:jc w:val="left"/>
      </w:pPr>
      <w:r>
        <w:rPr>
          <w:b/>
        </w:rPr>
        <w:t>Tatsächliche Bedeutung:</w:t>
      </w:r>
      <w:r>
        <w:t xml:space="preserve"> Im englischen Recht ist eine </w:t>
      </w:r>
      <w:r>
        <w:rPr>
          <w:i/>
        </w:rPr>
        <w:t>Guarantee</w:t>
      </w:r>
      <w:r>
        <w:t xml:space="preserve"> </w:t>
      </w:r>
      <w:r>
        <w:rPr>
          <w:b/>
        </w:rPr>
        <w:t>akzessorisch</w:t>
      </w:r>
      <w:r>
        <w:t xml:space="preserve">: Sie erlischt, wenn die gesicherte Hauptschuld erlischt. Dagegen meint der deutsche Begriff "Garantie" oft eine </w:t>
      </w:r>
      <w:r>
        <w:rPr>
          <w:b/>
        </w:rPr>
        <w:t>selbstständige, verschuldensunabhängige Einstandspflicht</w:t>
      </w:r>
      <w:r>
        <w:t xml:space="preserve"> (ähnlich der amerikanischen Indemnity). Eine </w:t>
      </w:r>
      <w:r>
        <w:rPr>
          <w:i/>
        </w:rPr>
        <w:t>First Demand Guarantee</w:t>
      </w:r>
      <w:r>
        <w:t xml:space="preserve"> ist dagegen autonom und nicht akzessorisch.</w:t>
      </w:r>
    </w:p>
    <w:p>
      <w:pPr>
        <w:jc w:val="left"/>
      </w:pPr>
      <w:r>
        <w:rPr>
          <w:b/>
        </w:rPr>
        <w:t>Beispiel:</w:t>
      </w:r>
      <w:r>
        <w:t xml:space="preserve"> </w:t>
      </w:r>
      <w:r>
        <w:rPr>
          <w:i/>
        </w:rPr>
        <w:t>"Parent Company guarantees the payment obligations of Buyer."</w:t>
      </w:r>
      <w:r>
        <w:t xml:space="preserve"> – Im englischen Recht bedeutet das: Die Bürgschaft erlischt, wenn die Kaufpreisforderung verjährt. Im deutschen Verständnis hätte man ggf. eine weitergehende Einstandspflicht erwartet.</w:t>
      </w:r>
    </w:p>
    <w:p/>
    <w:p>
      <w:pPr>
        <w:pStyle w:val="Heading2"/>
      </w:pPr>
      <w:r>
        <w:rPr>
          <w:rFonts w:ascii="Times New Roman" w:hAnsi="Times New Roman"/>
        </w:rPr>
        <w:t>3. Warranty ≠ Gewährleistung</w:t>
      </w:r>
    </w:p>
    <w:p>
      <w:pPr>
        <w:jc w:val="left"/>
      </w:pPr>
      <w:r>
        <w:rPr>
          <w:b/>
        </w:rPr>
        <w:t>Englischer Begriff:</w:t>
      </w:r>
      <w:r>
        <w:t xml:space="preserve"> </w:t>
      </w:r>
      <w:r>
        <w:rPr>
          <w:i/>
        </w:rPr>
        <w:t>Warranty</w:t>
      </w:r>
    </w:p>
    <w:p>
      <w:pPr>
        <w:jc w:val="left"/>
      </w:pPr>
      <w:r>
        <w:rPr>
          <w:b/>
        </w:rPr>
        <w:t>Naheliegende deutsche Übersetzung:</w:t>
      </w:r>
      <w:r>
        <w:t xml:space="preserve"> Gewährleistung</w:t>
      </w:r>
    </w:p>
    <w:p>
      <w:pPr>
        <w:jc w:val="left"/>
      </w:pPr>
      <w:r>
        <w:rPr>
          <w:b/>
        </w:rPr>
        <w:t>Tatsächliche Bedeutung:</w:t>
      </w:r>
      <w:r>
        <w:t xml:space="preserve"> </w:t>
      </w:r>
      <w:r>
        <w:rPr>
          <w:i/>
        </w:rPr>
        <w:t>Warranty</w:t>
      </w:r>
      <w:r>
        <w:t xml:space="preserve"> ist im US-amerikanischen und englischen Recht ein vertragliches </w:t>
      </w:r>
      <w:r>
        <w:rPr>
          <w:b/>
        </w:rPr>
        <w:t>Qualitätsversprechen</w:t>
      </w:r>
      <w:r>
        <w:t xml:space="preserve"> (Zusicherung), dessen Verletzung primär zu Schadensersatz führt. Der Begriff umfasst sowohl </w:t>
      </w:r>
      <w:r>
        <w:rPr>
          <w:i/>
        </w:rPr>
        <w:t>express warranties</w:t>
      </w:r>
      <w:r>
        <w:t xml:space="preserve"> (ausdrückliche Zusicherungen) als auch </w:t>
      </w:r>
      <w:r>
        <w:rPr>
          <w:i/>
        </w:rPr>
        <w:t>implied warranties</w:t>
      </w:r>
      <w:r>
        <w:t xml:space="preserve"> (stillschweigend mitgedachte Beschaffenheitsgarantien nach UCC Art. 2). Die deutsche Gewährleistung (§§ 434 ff. BGB) ist dagegen ein gesetzliches Mängelrecht mit definierten Rechtsbehelfen (Nacherfüllung, Minderung, Rücktritt).</w:t>
      </w:r>
    </w:p>
    <w:p>
      <w:pPr>
        <w:jc w:val="left"/>
      </w:pPr>
      <w:r>
        <w:rPr>
          <w:b/>
        </w:rPr>
        <w:t>Beispiel:</w:t>
      </w:r>
      <w:r>
        <w:t xml:space="preserve"> </w:t>
      </w:r>
      <w:r>
        <w:rPr>
          <w:i/>
        </w:rPr>
        <w:t>"Supplier hereby disclaims all implied warranties of merchantability and fitness for a particular purpose."</w:t>
      </w:r>
      <w:r>
        <w:t xml:space="preserve"> – Diese Klausel wäre als AGB in Deutschland nach § 307 Abs. 2 Nr. 1 BGB unwirksam.</w:t>
      </w:r>
    </w:p>
    <w:p/>
    <w:p>
      <w:pPr>
        <w:pStyle w:val="Heading2"/>
      </w:pPr>
      <w:r>
        <w:rPr>
          <w:rFonts w:ascii="Times New Roman" w:hAnsi="Times New Roman"/>
        </w:rPr>
        <w:t>4. Consequential Damages ≠ Folgeschäden im deutschen Sinne</w:t>
      </w:r>
    </w:p>
    <w:p>
      <w:pPr>
        <w:jc w:val="left"/>
      </w:pPr>
      <w:r>
        <w:rPr>
          <w:b/>
        </w:rPr>
        <w:t>Englischer Begriff:</w:t>
      </w:r>
      <w:r>
        <w:t xml:space="preserve"> </w:t>
      </w:r>
      <w:r>
        <w:rPr>
          <w:i/>
        </w:rPr>
        <w:t>Consequential damages</w:t>
      </w:r>
    </w:p>
    <w:p>
      <w:pPr>
        <w:jc w:val="left"/>
      </w:pPr>
      <w:r>
        <w:rPr>
          <w:b/>
        </w:rPr>
        <w:t>Naheliegende deutsche Übersetzung:</w:t>
      </w:r>
      <w:r>
        <w:t xml:space="preserve"> Folgeschäden / mittelbare Schäden</w:t>
      </w:r>
    </w:p>
    <w:p>
      <w:pPr>
        <w:jc w:val="left"/>
      </w:pPr>
      <w:r>
        <w:rPr>
          <w:b/>
        </w:rPr>
        <w:t>Tatsächliche Bedeutung:</w:t>
      </w:r>
      <w:r>
        <w:t xml:space="preserve"> Im US-Recht (UCC § 2-715) sind </w:t>
      </w:r>
      <w:r>
        <w:rPr>
          <w:i/>
        </w:rPr>
        <w:t>consequential damages</w:t>
      </w:r>
      <w:r>
        <w:t xml:space="preserve"> Schäden, die nicht unmittelbar aus der Vertragsverletzung folgen, sondern aus den besonderen Umständen des Einzelfalls. In England gilt der </w:t>
      </w:r>
      <w:r>
        <w:rPr>
          <w:i/>
        </w:rPr>
        <w:t>Hadley v Baxendale</w:t>
      </w:r>
      <w:r>
        <w:t xml:space="preserve">-Test. Im deutschen Recht ist entgangener Gewinn (§ 252 BGB) ein </w:t>
      </w:r>
      <w:r>
        <w:rPr>
          <w:b/>
        </w:rPr>
        <w:t>direkter Schaden</w:t>
      </w:r>
      <w:r>
        <w:t>, kein Folgeschaden. Ein vollständiger Ausschluss als AGB ist nach § 309 Nr. 7 BGB unwirksam.</w:t>
      </w:r>
    </w:p>
    <w:p>
      <w:pPr>
        <w:jc w:val="left"/>
      </w:pPr>
      <w:r>
        <w:rPr>
          <w:b/>
        </w:rPr>
        <w:t>Beispiel:</w:t>
      </w:r>
      <w:r>
        <w:t xml:space="preserve"> </w:t>
      </w:r>
      <w:r>
        <w:rPr>
          <w:i/>
        </w:rPr>
        <w:t>"Neither party shall be liable for any consequential, indirect or incidental damages."</w:t>
      </w:r>
      <w:r>
        <w:t xml:space="preserve"> – Im deutschen Recht würde diese Klausel den Ausschluss von entgangenem Gewinn umfassen, was unzulässig ist.</w:t>
      </w:r>
    </w:p>
    <w:p/>
    <w:p>
      <w:pPr>
        <w:pStyle w:val="Heading2"/>
      </w:pPr>
      <w:r>
        <w:rPr>
          <w:rFonts w:ascii="Times New Roman" w:hAnsi="Times New Roman"/>
        </w:rPr>
        <w:t>5. Consideration ≠ Gegenleistung</w:t>
      </w:r>
    </w:p>
    <w:p>
      <w:pPr>
        <w:jc w:val="left"/>
      </w:pPr>
      <w:r>
        <w:rPr>
          <w:b/>
        </w:rPr>
        <w:t>Englischer Begriff:</w:t>
      </w:r>
      <w:r>
        <w:t xml:space="preserve"> </w:t>
      </w:r>
      <w:r>
        <w:rPr>
          <w:i/>
        </w:rPr>
        <w:t>Consideration</w:t>
      </w:r>
    </w:p>
    <w:p>
      <w:pPr>
        <w:jc w:val="left"/>
      </w:pPr>
      <w:r>
        <w:rPr>
          <w:b/>
        </w:rPr>
        <w:t>Naheliegende deutsche Übersetzung:</w:t>
      </w:r>
      <w:r>
        <w:t xml:space="preserve"> Gegenleistung / Entgelt</w:t>
      </w:r>
    </w:p>
    <w:p>
      <w:pPr>
        <w:jc w:val="left"/>
      </w:pPr>
      <w:r>
        <w:rPr>
          <w:b/>
        </w:rPr>
        <w:t>Tatsächliche Bedeutung:</w:t>
      </w:r>
      <w:r>
        <w:t xml:space="preserve"> </w:t>
      </w:r>
      <w:r>
        <w:rPr>
          <w:i/>
        </w:rPr>
        <w:t>Consideration</w:t>
      </w:r>
      <w:r>
        <w:t xml:space="preserve"> ist im Common Law eine zwingende Wirksamkeitsvoraussetzung für Verträge: Ohne Consideration ist kein Vertrag bindend. Im deutschen Recht ist dies kein eigenständiges Erfordernis; Verträge sind allein durch Einigung auf alle wesentlichen Punkte wirksam. Die Formel </w:t>
      </w:r>
      <w:r>
        <w:rPr>
          <w:i/>
        </w:rPr>
        <w:t>"for good and valuable consideration, receipt whereof is hereby acknowledged"</w:t>
      </w:r>
      <w:r>
        <w:t xml:space="preserve"> ist nach deutschem Recht funktionslos.</w:t>
      </w:r>
    </w:p>
    <w:p>
      <w:pPr>
        <w:jc w:val="left"/>
      </w:pPr>
      <w:r>
        <w:rPr>
          <w:b/>
        </w:rPr>
        <w:t>Beispiel:</w:t>
      </w:r>
      <w:r>
        <w:t xml:space="preserve"> Setzt man diese Formel in einen deutschen Vertrag, hat sie keinerlei rechtliche Wirkung – kann aber im Auslegungsstreit Verwirrung stiften.</w:t>
      </w:r>
    </w:p>
    <w:p/>
    <w:p>
      <w:pPr>
        <w:pStyle w:val="Heading2"/>
      </w:pPr>
      <w:r>
        <w:rPr>
          <w:rFonts w:ascii="Times New Roman" w:hAnsi="Times New Roman"/>
        </w:rPr>
        <w:t>6. Penalty ≠ Strafe / Vertragsstrafe</w:t>
      </w:r>
    </w:p>
    <w:p>
      <w:pPr>
        <w:jc w:val="left"/>
      </w:pPr>
      <w:r>
        <w:rPr>
          <w:b/>
        </w:rPr>
        <w:t>Englischer Begriff:</w:t>
      </w:r>
      <w:r>
        <w:t xml:space="preserve"> </w:t>
      </w:r>
      <w:r>
        <w:rPr>
          <w:i/>
        </w:rPr>
        <w:t>Penalty (clause)</w:t>
      </w:r>
    </w:p>
    <w:p>
      <w:pPr>
        <w:jc w:val="left"/>
      </w:pPr>
      <w:r>
        <w:rPr>
          <w:b/>
        </w:rPr>
        <w:t>Naheliegende deutsche Übersetzung:</w:t>
      </w:r>
      <w:r>
        <w:t xml:space="preserve"> Strafe / Vertragsstrafe</w:t>
      </w:r>
    </w:p>
    <w:p>
      <w:pPr>
        <w:jc w:val="left"/>
      </w:pPr>
      <w:r>
        <w:rPr>
          <w:b/>
        </w:rPr>
        <w:t>Tatsächliche Bedeutung:</w:t>
      </w:r>
      <w:r>
        <w:t xml:space="preserve"> Im englischen Recht (bis 2015: </w:t>
      </w:r>
      <w:r>
        <w:rPr>
          <w:i/>
        </w:rPr>
        <w:t>Dunlop Pneumatic Tyre Co v New Garage</w:t>
      </w:r>
      <w:r>
        <w:t xml:space="preserve">; heute: </w:t>
      </w:r>
      <w:r>
        <w:rPr>
          <w:i/>
        </w:rPr>
        <w:t>Cavendish Square</w:t>
      </w:r>
      <w:r>
        <w:t xml:space="preserve">-Test) war eine </w:t>
      </w:r>
      <w:r>
        <w:rPr>
          <w:i/>
        </w:rPr>
        <w:t>penalty clause</w:t>
      </w:r>
      <w:r>
        <w:t xml:space="preserve"> traditionell </w:t>
      </w:r>
      <w:r>
        <w:rPr>
          <w:b/>
        </w:rPr>
        <w:t>nichtig</w:t>
      </w:r>
      <w:r>
        <w:t xml:space="preserve">. Nur </w:t>
      </w:r>
      <w:r>
        <w:rPr>
          <w:i/>
        </w:rPr>
        <w:t>liquidated damages</w:t>
      </w:r>
      <w:r>
        <w:t xml:space="preserve"> (vorab quantifizierter Schadensersatz) waren wirksam. Nach deutschem Recht ist die Vertragsstrafe (§ 339 BGB) ausdrücklich zulässig und kann nur nach § 343 BGB auf Antrag herabgesetzt werden.</w:t>
      </w:r>
    </w:p>
    <w:p>
      <w:pPr>
        <w:jc w:val="left"/>
      </w:pPr>
      <w:r>
        <w:rPr>
          <w:b/>
        </w:rPr>
        <w:t>Beispiel:</w:t>
      </w:r>
      <w:r>
        <w:t xml:space="preserve"> </w:t>
      </w:r>
      <w:r>
        <w:rPr>
          <w:i/>
        </w:rPr>
        <w:t>"In case of delay, Supplier shall pay a penalty of 0.1% per day."</w:t>
      </w:r>
      <w:r>
        <w:t xml:space="preserve"> – In einem englisch-rechtlichen Vertrag müsste es heißen: </w:t>
      </w:r>
      <w:r>
        <w:rPr>
          <w:i/>
        </w:rPr>
        <w:t>"liquidated damages of 0.1% per day"</w:t>
      </w:r>
      <w:r>
        <w:t>, um Unwirksamkeitsrisiken zu vermeiden.</w:t>
      </w:r>
    </w:p>
    <w:p/>
    <w:p>
      <w:pPr>
        <w:pStyle w:val="Heading2"/>
      </w:pPr>
      <w:r>
        <w:rPr>
          <w:rFonts w:ascii="Times New Roman" w:hAnsi="Times New Roman"/>
        </w:rPr>
        <w:t>7. Rescission ≠ Rücktritt</w:t>
      </w:r>
    </w:p>
    <w:p>
      <w:pPr>
        <w:jc w:val="left"/>
      </w:pPr>
      <w:r>
        <w:rPr>
          <w:b/>
        </w:rPr>
        <w:t>Englischer Begriff:</w:t>
      </w:r>
      <w:r>
        <w:t xml:space="preserve"> </w:t>
      </w:r>
      <w:r>
        <w:rPr>
          <w:i/>
        </w:rPr>
        <w:t>Rescission</w:t>
      </w:r>
    </w:p>
    <w:p>
      <w:pPr>
        <w:jc w:val="left"/>
      </w:pPr>
      <w:r>
        <w:rPr>
          <w:b/>
        </w:rPr>
        <w:t>Naheliegende deutsche Übersetzung:</w:t>
      </w:r>
      <w:r>
        <w:t xml:space="preserve"> Rücktritt</w:t>
      </w:r>
    </w:p>
    <w:p>
      <w:pPr>
        <w:jc w:val="left"/>
      </w:pPr>
      <w:r>
        <w:rPr>
          <w:b/>
        </w:rPr>
        <w:t>Tatsächliche Bedeutung:</w:t>
      </w:r>
      <w:r>
        <w:t xml:space="preserve"> </w:t>
      </w:r>
      <w:r>
        <w:rPr>
          <w:i/>
        </w:rPr>
        <w:t>Rescission</w:t>
      </w:r>
      <w:r>
        <w:t xml:space="preserve"> im englischen Recht meint die </w:t>
      </w:r>
      <w:r>
        <w:rPr>
          <w:b/>
        </w:rPr>
        <w:t>rückwirkende Auflösung</w:t>
      </w:r>
      <w:r>
        <w:t xml:space="preserve"> des Vertrags, als ob er nie geschlossen worden wäre (z.B. wegen Arglist oder Irrtums). </w:t>
      </w:r>
      <w:r>
        <w:rPr>
          <w:i/>
        </w:rPr>
        <w:t>Termination</w:t>
      </w:r>
      <w:r>
        <w:t xml:space="preserve"> meint die </w:t>
      </w:r>
      <w:r>
        <w:rPr>
          <w:b/>
        </w:rPr>
        <w:t>zukunftswirkende Auflösung</w:t>
      </w:r>
      <w:r>
        <w:t xml:space="preserve"> bei Vertragsverletzung. Der deutsche Rücktritt (§§ 323 ff. BGB) wirkt hingegen ex nunc mit Rückgewähransprüchen (§§ 346 ff. BGB) und entspricht je nach Kontext eher </w:t>
      </w:r>
      <w:r>
        <w:rPr>
          <w:i/>
        </w:rPr>
        <w:t>termination</w:t>
      </w:r>
      <w:r>
        <w:t>.</w:t>
      </w:r>
    </w:p>
    <w:p>
      <w:pPr>
        <w:jc w:val="left"/>
      </w:pPr>
      <w:r>
        <w:rPr>
          <w:b/>
        </w:rPr>
        <w:t>Beispiel:</w:t>
      </w:r>
      <w:r>
        <w:t xml:space="preserve"> Den Satz </w:t>
      </w:r>
      <w:r>
        <w:rPr>
          <w:i/>
        </w:rPr>
        <w:t>"RheinMain Sensors may rescind the Agreement in case of material breach"</w:t>
      </w:r>
      <w:r>
        <w:t xml:space="preserve"> sollte man im Vertrag durch </w:t>
      </w:r>
      <w:r>
        <w:rPr>
          <w:i/>
        </w:rPr>
        <w:t>"terminate"</w:t>
      </w:r>
      <w:r>
        <w:t xml:space="preserve"> ersetzen, um Unklarheiten zu vermeiden.</w:t>
      </w:r>
    </w:p>
    <w:p/>
    <w:p>
      <w:pPr>
        <w:pStyle w:val="Heading2"/>
      </w:pPr>
      <w:r>
        <w:rPr>
          <w:rFonts w:ascii="Times New Roman" w:hAnsi="Times New Roman"/>
        </w:rPr>
        <w:t>8. Material Breach ≠ Wesentliche Pflichtverletzung</w:t>
      </w:r>
    </w:p>
    <w:p>
      <w:pPr>
        <w:jc w:val="left"/>
      </w:pPr>
      <w:r>
        <w:rPr>
          <w:b/>
        </w:rPr>
        <w:t>Englischer Begriff:</w:t>
      </w:r>
      <w:r>
        <w:t xml:space="preserve"> </w:t>
      </w:r>
      <w:r>
        <w:rPr>
          <w:i/>
        </w:rPr>
        <w:t>Material breach</w:t>
      </w:r>
    </w:p>
    <w:p>
      <w:pPr>
        <w:jc w:val="left"/>
      </w:pPr>
      <w:r>
        <w:rPr>
          <w:b/>
        </w:rPr>
        <w:t>Naheliegende deutsche Übersetzung:</w:t>
      </w:r>
      <w:r>
        <w:t xml:space="preserve"> Wesentliche Pflichtverletzung</w:t>
      </w:r>
    </w:p>
    <w:p>
      <w:pPr>
        <w:jc w:val="left"/>
      </w:pPr>
      <w:r>
        <w:rPr>
          <w:b/>
        </w:rPr>
        <w:t>Tatsächliche Bedeutung:</w:t>
      </w:r>
      <w:r>
        <w:t xml:space="preserve"> Im deutschen Recht richtet sich das Rücktrittsrecht nach § 323 Abs. 5 BGB danach, ob die Pflichtverletzung </w:t>
      </w:r>
      <w:r>
        <w:rPr>
          <w:b/>
        </w:rPr>
        <w:t>unerheblich</w:t>
      </w:r>
      <w:r>
        <w:t xml:space="preserve"> ist (dann kein Rücktritt). </w:t>
      </w:r>
      <w:r>
        <w:rPr>
          <w:i/>
        </w:rPr>
        <w:t>Material breach</w:t>
      </w:r>
      <w:r>
        <w:t xml:space="preserve"> im Common Law bezeichnet einen Verstoß, der den anderen Teil des wesentlichen vertraglichen Nutzens beraubt (</w:t>
      </w:r>
      <w:r>
        <w:rPr>
          <w:i/>
        </w:rPr>
        <w:t>goes to the root of the contract</w:t>
      </w:r>
      <w:r>
        <w:t>). Die Schwelle ist ähnlich, aber nicht identisch.</w:t>
      </w:r>
    </w:p>
    <w:p>
      <w:pPr>
        <w:jc w:val="left"/>
      </w:pPr>
      <w:r>
        <w:rPr>
          <w:b/>
        </w:rPr>
        <w:t>Beispiel:</w:t>
      </w:r>
      <w:r>
        <w:t xml:space="preserve"> Ein einmaliger Lieferverzug von drei Tagen ist nach § 323 Abs. 5 BGB "unerheblich" und berechtigt nicht zum Rücktritt. Im US-Recht könnte dieselbe Situation als </w:t>
      </w:r>
      <w:r>
        <w:rPr>
          <w:i/>
        </w:rPr>
        <w:t>material breach</w:t>
      </w:r>
      <w:r>
        <w:t xml:space="preserve"> qualifiziert werden, wenn time was of the essence.</w:t>
      </w:r>
    </w:p>
    <w:p/>
    <w:p>
      <w:pPr>
        <w:pStyle w:val="Heading2"/>
      </w:pPr>
      <w:r>
        <w:rPr>
          <w:rFonts w:ascii="Times New Roman" w:hAnsi="Times New Roman"/>
        </w:rPr>
        <w:t>9. Representations ≠ Zusicherungen</w:t>
      </w:r>
    </w:p>
    <w:p>
      <w:pPr>
        <w:jc w:val="left"/>
      </w:pPr>
      <w:r>
        <w:rPr>
          <w:b/>
        </w:rPr>
        <w:t>Englischer Begriff:</w:t>
      </w:r>
      <w:r>
        <w:t xml:space="preserve"> </w:t>
      </w:r>
      <w:r>
        <w:rPr>
          <w:i/>
        </w:rPr>
        <w:t>Representations</w:t>
      </w:r>
    </w:p>
    <w:p>
      <w:pPr>
        <w:jc w:val="left"/>
      </w:pPr>
      <w:r>
        <w:rPr>
          <w:b/>
        </w:rPr>
        <w:t>Naheliegende deutsche Übersetzung:</w:t>
      </w:r>
      <w:r>
        <w:t xml:space="preserve"> Zusicherungen / Erklärungen</w:t>
      </w:r>
    </w:p>
    <w:p>
      <w:pPr>
        <w:jc w:val="left"/>
      </w:pPr>
      <w:r>
        <w:rPr>
          <w:b/>
        </w:rPr>
        <w:t>Tatsächliche Bedeutung:</w:t>
      </w:r>
      <w:r>
        <w:t xml:space="preserve"> </w:t>
      </w:r>
      <w:r>
        <w:rPr>
          <w:i/>
        </w:rPr>
        <w:t>Representations</w:t>
      </w:r>
      <w:r>
        <w:t xml:space="preserve"> sind vorvertragliche Erklärungen, die einen Anspruch auf </w:t>
      </w:r>
      <w:r>
        <w:rPr>
          <w:i/>
        </w:rPr>
        <w:t>rescission</w:t>
      </w:r>
      <w:r>
        <w:t xml:space="preserve"> und/oder Schadensersatz aus </w:t>
      </w:r>
      <w:r>
        <w:rPr>
          <w:i/>
        </w:rPr>
        <w:t>misrepresentation</w:t>
      </w:r>
      <w:r>
        <w:t xml:space="preserve"> (Misrepresentation Act 1967) begründen können. Im deutschen Recht sind vorvertragliche Erklärungen über die culpa in contrahendo (§ 311 Abs. 2 BGB) oder die Beschaffenheitsvereinbarung (§ 434 Abs. 1 BGB) geschützt.</w:t>
      </w:r>
    </w:p>
    <w:p>
      <w:pPr>
        <w:jc w:val="left"/>
      </w:pPr>
      <w:r>
        <w:rPr>
          <w:b/>
        </w:rPr>
        <w:t>Beispiel:</w:t>
      </w:r>
      <w:r>
        <w:t xml:space="preserve"> Eine </w:t>
      </w:r>
      <w:r>
        <w:rPr>
          <w:i/>
        </w:rPr>
        <w:t>misrepresentation</w:t>
      </w:r>
      <w:r>
        <w:t>-Klage ist schnell erhoben; eine "Zusicherung" im deutschen Sinne liegt dagegen erst vor, wenn die Parteien sie ausdrücklich als Garantie vereinbart haben.</w:t>
      </w:r>
    </w:p>
    <w:p/>
    <w:p>
      <w:pPr>
        <w:pStyle w:val="Heading2"/>
      </w:pPr>
      <w:r>
        <w:rPr>
          <w:rFonts w:ascii="Times New Roman" w:hAnsi="Times New Roman"/>
        </w:rPr>
        <w:t>10. Assignment ≠ Abtretung / Vertragsübernahme</w:t>
      </w:r>
    </w:p>
    <w:p>
      <w:pPr>
        <w:jc w:val="left"/>
      </w:pPr>
      <w:r>
        <w:rPr>
          <w:b/>
        </w:rPr>
        <w:t>Englischer Begriff:</w:t>
      </w:r>
      <w:r>
        <w:t xml:space="preserve"> </w:t>
      </w:r>
      <w:r>
        <w:rPr>
          <w:i/>
        </w:rPr>
        <w:t>Assignment</w:t>
      </w:r>
    </w:p>
    <w:p>
      <w:pPr>
        <w:jc w:val="left"/>
      </w:pPr>
      <w:r>
        <w:rPr>
          <w:b/>
        </w:rPr>
        <w:t>Naheliegende deutsche Übersetzung:</w:t>
      </w:r>
      <w:r>
        <w:t xml:space="preserve"> Abtretung</w:t>
      </w:r>
    </w:p>
    <w:p>
      <w:pPr>
        <w:jc w:val="left"/>
      </w:pPr>
      <w:r>
        <w:rPr>
          <w:b/>
        </w:rPr>
        <w:t>Tatsächliche Bedeutung:</w:t>
      </w:r>
      <w:r>
        <w:t xml:space="preserve"> Im Common Law kann die </w:t>
      </w:r>
      <w:r>
        <w:rPr>
          <w:i/>
        </w:rPr>
        <w:t>benefit</w:t>
      </w:r>
      <w:r>
        <w:t xml:space="preserve"> (Forderungsseite) eines Vertrags ohne Zustimmung abgetreten werden; die </w:t>
      </w:r>
      <w:r>
        <w:rPr>
          <w:i/>
        </w:rPr>
        <w:t>burden</w:t>
      </w:r>
      <w:r>
        <w:t xml:space="preserve"> (Verpflichtungsseite) nicht. Im deutschen Recht unterscheidet man scharf zwischen der </w:t>
      </w:r>
      <w:r>
        <w:rPr>
          <w:b/>
        </w:rPr>
        <w:t>Forderungsabtretung</w:t>
      </w:r>
      <w:r>
        <w:t xml:space="preserve"> (§ 398 BGB, keine Zustimmung des Schuldners nötig) und der </w:t>
      </w:r>
      <w:r>
        <w:rPr>
          <w:b/>
        </w:rPr>
        <w:t>Vertragsübernahme</w:t>
      </w:r>
      <w:r>
        <w:t xml:space="preserve"> (§ 415 BGB, Zustimmung aller erforderlich).</w:t>
      </w:r>
    </w:p>
    <w:p>
      <w:pPr>
        <w:jc w:val="left"/>
      </w:pPr>
      <w:r>
        <w:rPr>
          <w:b/>
        </w:rPr>
        <w:t>Beispiel:</w:t>
      </w:r>
      <w:r>
        <w:t xml:space="preserve"> </w:t>
      </w:r>
      <w:r>
        <w:rPr>
          <w:i/>
        </w:rPr>
        <w:t>"Buyer may assign this Agreement to an affiliate."</w:t>
      </w:r>
      <w:r>
        <w:t xml:space="preserve"> – Im deutschen Recht würde dies als Vertragsübernahme gewertet, die der Zustimmung der Mandantin bedarf.</w:t>
      </w:r>
    </w:p>
    <w:p/>
    <w:p>
      <w:pPr>
        <w:pStyle w:val="Heading2"/>
      </w:pPr>
      <w:r>
        <w:rPr>
          <w:rFonts w:ascii="Times New Roman" w:hAnsi="Times New Roman"/>
        </w:rPr>
        <w:t>11. Waiver ≠ Verzicht</w:t>
      </w:r>
    </w:p>
    <w:p>
      <w:pPr>
        <w:jc w:val="left"/>
      </w:pPr>
      <w:r>
        <w:rPr>
          <w:b/>
        </w:rPr>
        <w:t>Englischer Begriff:</w:t>
      </w:r>
      <w:r>
        <w:t xml:space="preserve"> </w:t>
      </w:r>
      <w:r>
        <w:rPr>
          <w:i/>
        </w:rPr>
        <w:t>Waiver</w:t>
      </w:r>
    </w:p>
    <w:p>
      <w:pPr>
        <w:jc w:val="left"/>
      </w:pPr>
      <w:r>
        <w:rPr>
          <w:b/>
        </w:rPr>
        <w:t>Naheliegende deutsche Übersetzung:</w:t>
      </w:r>
      <w:r>
        <w:t xml:space="preserve"> Verzicht</w:t>
      </w:r>
    </w:p>
    <w:p>
      <w:pPr>
        <w:jc w:val="left"/>
      </w:pPr>
      <w:r>
        <w:rPr>
          <w:b/>
        </w:rPr>
        <w:t>Tatsächliche Bedeutung:</w:t>
      </w:r>
      <w:r>
        <w:t xml:space="preserve"> Im Common Law ist </w:t>
      </w:r>
      <w:r>
        <w:rPr>
          <w:i/>
        </w:rPr>
        <w:t>waiver</w:t>
      </w:r>
      <w:r>
        <w:t xml:space="preserve"> eine einseitige Aufgabe eines Rechts, die formfrei und durch schlüssiges Verhalten (</w:t>
      </w:r>
      <w:r>
        <w:rPr>
          <w:i/>
        </w:rPr>
        <w:t>conduct</w:t>
      </w:r>
      <w:r>
        <w:t xml:space="preserve">) möglich ist. </w:t>
      </w:r>
      <w:r>
        <w:rPr>
          <w:i/>
        </w:rPr>
        <w:t>Non-waiver clauses</w:t>
      </w:r>
      <w:r>
        <w:t xml:space="preserve"> werden in Verträgen aufgenommen, um versehentliche Waivers zu verhindern. Im deutschen Recht ist ein Verzicht auf Ansprüche (z.B. § 397 BGB: Erlass) ebenfalls grundsätzlich formfrei, muss aber klar erklärt werden.</w:t>
      </w:r>
    </w:p>
    <w:p>
      <w:pPr>
        <w:jc w:val="left"/>
      </w:pPr>
      <w:r>
        <w:rPr>
          <w:b/>
        </w:rPr>
        <w:t>Beispiel:</w:t>
      </w:r>
      <w:r>
        <w:t xml:space="preserve"> </w:t>
      </w:r>
      <w:r>
        <w:rPr>
          <w:i/>
        </w:rPr>
        <w:t>"Failure to enforce any provision shall not constitute a waiver."</w:t>
      </w:r>
      <w:r>
        <w:t xml:space="preserve"> – Diese Klausel ist im deutschen Recht nicht zwingend erforderlich, da Schweigen grundsätzlich kein Verzicht ist, wird aber zur Klarheit empfohlen.</w:t>
      </w:r>
    </w:p>
    <w:p/>
    <w:p>
      <w:pPr>
        <w:pStyle w:val="Heading2"/>
      </w:pPr>
      <w:r>
        <w:rPr>
          <w:rFonts w:ascii="Times New Roman" w:hAnsi="Times New Roman"/>
        </w:rPr>
        <w:t>12. Estoppel ≠ Verwirkung</w:t>
      </w:r>
    </w:p>
    <w:p>
      <w:pPr>
        <w:jc w:val="left"/>
      </w:pPr>
      <w:r>
        <w:rPr>
          <w:b/>
        </w:rPr>
        <w:t>Englischer Begriff:</w:t>
      </w:r>
      <w:r>
        <w:t xml:space="preserve"> </w:t>
      </w:r>
      <w:r>
        <w:rPr>
          <w:i/>
        </w:rPr>
        <w:t>Estoppel</w:t>
      </w:r>
    </w:p>
    <w:p>
      <w:pPr>
        <w:jc w:val="left"/>
      </w:pPr>
      <w:r>
        <w:rPr>
          <w:b/>
        </w:rPr>
        <w:t>Naheliegende deutsche Übersetzung:</w:t>
      </w:r>
      <w:r>
        <w:t xml:space="preserve"> Verwirkung / Rechtsmissbrauch</w:t>
      </w:r>
    </w:p>
    <w:p>
      <w:pPr>
        <w:jc w:val="left"/>
      </w:pPr>
      <w:r>
        <w:rPr>
          <w:b/>
        </w:rPr>
        <w:t>Tatsächliche Bedeutung:</w:t>
      </w:r>
      <w:r>
        <w:t xml:space="preserve"> </w:t>
      </w:r>
      <w:r>
        <w:rPr>
          <w:i/>
        </w:rPr>
        <w:t>Estoppel</w:t>
      </w:r>
      <w:r>
        <w:t xml:space="preserve"> im englischen Recht verhindert, dass jemand eine Rechtslage in Anspruch nimmt, der er zuvor selbst widersprochen hat (</w:t>
      </w:r>
      <w:r>
        <w:rPr>
          <w:i/>
        </w:rPr>
        <w:t>you are estopped from denying…</w:t>
      </w:r>
      <w:r>
        <w:t xml:space="preserve">). Im deutschen Recht ist die nächstverwandte Rechtsfigur die </w:t>
      </w:r>
      <w:r>
        <w:rPr>
          <w:b/>
        </w:rPr>
        <w:t>Verwirkung</w:t>
      </w:r>
      <w:r>
        <w:t xml:space="preserve"> (§ 242 BGB), die an Zeit (Zeitmoment) und Vertrauenstatbestand (Umstandsmoment) anknüpft.</w:t>
      </w:r>
    </w:p>
    <w:p>
      <w:pPr>
        <w:jc w:val="left"/>
      </w:pPr>
      <w:r>
        <w:rPr>
          <w:b/>
        </w:rPr>
        <w:t>Beispiel:</w:t>
      </w:r>
      <w:r>
        <w:t xml:space="preserve"> Hat die Mandantin jahrelang eine abweichende Vertragsauslegung der Gegenseite toleriert, könnte sie nach englischem Recht daran </w:t>
      </w:r>
      <w:r>
        <w:rPr>
          <w:i/>
        </w:rPr>
        <w:t>estopped</w:t>
      </w:r>
      <w:r>
        <w:t xml:space="preserve"> sein, eine andere Auslegung geltend zu machen.</w:t>
      </w:r>
    </w:p>
    <w:p/>
    <w:p>
      <w:pPr>
        <w:pStyle w:val="Heading2"/>
      </w:pPr>
      <w:r>
        <w:rPr>
          <w:rFonts w:ascii="Times New Roman" w:hAnsi="Times New Roman"/>
        </w:rPr>
        <w:t>13. Force Majeure ≠ Höhere Gewalt (vollständig)</w:t>
      </w:r>
    </w:p>
    <w:p>
      <w:pPr>
        <w:jc w:val="left"/>
      </w:pPr>
      <w:r>
        <w:rPr>
          <w:b/>
        </w:rPr>
        <w:t>Englischer Begriff:</w:t>
      </w:r>
      <w:r>
        <w:t xml:space="preserve"> </w:t>
      </w:r>
      <w:r>
        <w:rPr>
          <w:i/>
        </w:rPr>
        <w:t>Force Majeure</w:t>
      </w:r>
    </w:p>
    <w:p>
      <w:pPr>
        <w:jc w:val="left"/>
      </w:pPr>
      <w:r>
        <w:rPr>
          <w:b/>
        </w:rPr>
        <w:t>Naheliegende deutsche Übersetzung:</w:t>
      </w:r>
      <w:r>
        <w:t xml:space="preserve"> Höhere Gewalt</w:t>
      </w:r>
    </w:p>
    <w:p>
      <w:pPr>
        <w:jc w:val="left"/>
      </w:pPr>
      <w:r>
        <w:rPr>
          <w:b/>
        </w:rPr>
        <w:t>Tatsächliche Bedeutung:</w:t>
      </w:r>
      <w:r>
        <w:t xml:space="preserve"> Im deutschen Recht ist Höhere Gewalt ein anerkanntes Rechtsinstitut. Im englischen Common Law gibt es </w:t>
      </w:r>
      <w:r>
        <w:rPr>
          <w:b/>
        </w:rPr>
        <w:t>kein allgemeines Rechtsinstitut</w:t>
      </w:r>
      <w:r>
        <w:t xml:space="preserve"> der Force Majeure – sie gilt nur, wenn sie vertraglich vereinbart ist. Das Pendant ist die Doktrin der </w:t>
      </w:r>
      <w:r>
        <w:rPr>
          <w:i/>
        </w:rPr>
        <w:t>Frustration</w:t>
      </w:r>
      <w:r>
        <w:t xml:space="preserve"> (Davis Contractors v Fareham, 1956), die aber enge Voraussetzungen hat. Ohne explizite </w:t>
      </w:r>
      <w:r>
        <w:rPr>
          <w:i/>
        </w:rPr>
        <w:t>force majeure clause</w:t>
      </w:r>
      <w:r>
        <w:t xml:space="preserve"> läuft die Vertragspartei unter englischem Recht leer.</w:t>
      </w:r>
    </w:p>
    <w:p>
      <w:pPr>
        <w:jc w:val="left"/>
      </w:pPr>
      <w:r>
        <w:rPr>
          <w:b/>
        </w:rPr>
        <w:t>Beispiel:</w:t>
      </w:r>
      <w:r>
        <w:t xml:space="preserve"> Ein Lieferant unter englischem Recht ohne force majeure-Klausel haftet trotz Pandemie auf Schadensersatz; unter deutschem Recht kann § 275 BGB (Unmöglichkeit) oder § 313 BGB (Störung der Geschäftsgrundlage) greifen.</w:t>
      </w:r>
    </w:p>
    <w:p/>
    <w:p>
      <w:pPr>
        <w:pStyle w:val="Heading2"/>
      </w:pPr>
      <w:r>
        <w:rPr>
          <w:rFonts w:ascii="Times New Roman" w:hAnsi="Times New Roman"/>
        </w:rPr>
        <w:t>14. Frustration ≠ Geschäftsgrundlagenstörung</w:t>
      </w:r>
    </w:p>
    <w:p>
      <w:pPr>
        <w:jc w:val="left"/>
      </w:pPr>
      <w:r>
        <w:rPr>
          <w:b/>
        </w:rPr>
        <w:t>Englischer Begriff:</w:t>
      </w:r>
      <w:r>
        <w:t xml:space="preserve"> </w:t>
      </w:r>
      <w:r>
        <w:rPr>
          <w:i/>
        </w:rPr>
        <w:t>Frustration of contract</w:t>
      </w:r>
    </w:p>
    <w:p>
      <w:pPr>
        <w:jc w:val="left"/>
      </w:pPr>
      <w:r>
        <w:rPr>
          <w:b/>
        </w:rPr>
        <w:t>Naheliegende deutsche Übersetzung:</w:t>
      </w:r>
      <w:r>
        <w:t xml:space="preserve"> Wegfall der Geschäftsgrundlage</w:t>
      </w:r>
    </w:p>
    <w:p>
      <w:pPr>
        <w:jc w:val="left"/>
      </w:pPr>
      <w:r>
        <w:rPr>
          <w:b/>
        </w:rPr>
        <w:t>Tatsächliche Bedeutung:</w:t>
      </w:r>
      <w:r>
        <w:t xml:space="preserve"> </w:t>
      </w:r>
      <w:r>
        <w:rPr>
          <w:i/>
        </w:rPr>
        <w:t>Frustration</w:t>
      </w:r>
      <w:r>
        <w:t xml:space="preserve"> im englischen Recht führt zur </w:t>
      </w:r>
      <w:r>
        <w:rPr>
          <w:b/>
        </w:rPr>
        <w:t>sofortigen und automatischen Auflösung</w:t>
      </w:r>
      <w:r>
        <w:t xml:space="preserve"> des Vertrags. § 313 BGB dagegen gibt primär einen Anpassungsanspruch; Auflösung ist nur ultima ratio.</w:t>
      </w:r>
    </w:p>
    <w:p>
      <w:pPr>
        <w:jc w:val="left"/>
      </w:pPr>
      <w:r>
        <w:rPr>
          <w:b/>
        </w:rPr>
        <w:t>Beispiel:</w:t>
      </w:r>
      <w:r>
        <w:t xml:space="preserve"> Die Verhängung von Sanktionen gegen Russland könnte einen Exportvertrag frustrieren (englisches Recht: Vertragsende sofort) oder eine Anpassungspflicht auslösen (deutsches Recht: Preisanpassung als erster Schritt).</w:t>
      </w:r>
    </w:p>
    <w:p/>
    <w:p>
      <w:pPr>
        <w:pStyle w:val="Heading2"/>
      </w:pPr>
      <w:r>
        <w:rPr>
          <w:rFonts w:ascii="Times New Roman" w:hAnsi="Times New Roman"/>
        </w:rPr>
        <w:t>15. Termination for Convenience ≠ Ordentliche Kündigung</w:t>
      </w:r>
    </w:p>
    <w:p>
      <w:pPr>
        <w:jc w:val="left"/>
      </w:pPr>
      <w:r>
        <w:rPr>
          <w:b/>
        </w:rPr>
        <w:t>Englischer Begriff:</w:t>
      </w:r>
      <w:r>
        <w:t xml:space="preserve"> </w:t>
      </w:r>
      <w:r>
        <w:rPr>
          <w:i/>
        </w:rPr>
        <w:t>Termination for convenience</w:t>
      </w:r>
    </w:p>
    <w:p>
      <w:pPr>
        <w:jc w:val="left"/>
      </w:pPr>
      <w:r>
        <w:rPr>
          <w:b/>
        </w:rPr>
        <w:t>Naheliegende deutsche Übersetzung:</w:t>
      </w:r>
      <w:r>
        <w:t xml:space="preserve"> Kündigung ohne Grund</w:t>
      </w:r>
    </w:p>
    <w:p>
      <w:pPr>
        <w:jc w:val="left"/>
      </w:pPr>
      <w:r>
        <w:rPr>
          <w:b/>
        </w:rPr>
        <w:t>Tatsächliche Bedeutung:</w:t>
      </w:r>
      <w:r>
        <w:t xml:space="preserve"> Im US-amerikanischen und englischen Recht ist die </w:t>
      </w:r>
      <w:r>
        <w:rPr>
          <w:i/>
        </w:rPr>
        <w:t>Termination for Convenience</w:t>
      </w:r>
      <w:r>
        <w:t xml:space="preserve"> (TfC) eine verbreitete Klausel, die jeder Partei erlaubt, den Vertrag ohne Angabe von Gründen gegen Zahlung einer </w:t>
      </w:r>
      <w:r>
        <w:rPr>
          <w:i/>
        </w:rPr>
        <w:t>Convenience Fee</w:t>
      </w:r>
      <w:r>
        <w:t xml:space="preserve"> zu beenden. Im deutschen Recht gibt es bei Dauerschuldverhältnissen ein gesetzliches Recht zur ordentlichen Kündigung (§ 620 BGB), aber die Konsequenzen sind unterschiedlich.</w:t>
      </w:r>
    </w:p>
    <w:p>
      <w:pPr>
        <w:jc w:val="left"/>
      </w:pPr>
      <w:r>
        <w:rPr>
          <w:b/>
        </w:rPr>
        <w:t>Beispiel:</w:t>
      </w:r>
      <w:r>
        <w:t xml:space="preserve"> Hat der Vertrag eine TfC-Klausel ohne Entschädigungsregelung, könnte die Gegenseite nach 12 Monaten ohne Grund kündigen und den gesamten Investitionsaufwand der Mandantin vernichten.</w:t>
      </w:r>
    </w:p>
    <w:p/>
    <w:p>
      <w:pPr>
        <w:pStyle w:val="Heading2"/>
      </w:pPr>
      <w:r>
        <w:rPr>
          <w:rFonts w:ascii="Times New Roman" w:hAnsi="Times New Roman"/>
        </w:rPr>
        <w:t>16. Good Faith ≠ Treu und Glauben</w:t>
      </w:r>
    </w:p>
    <w:p>
      <w:pPr>
        <w:jc w:val="left"/>
      </w:pPr>
      <w:r>
        <w:rPr>
          <w:b/>
        </w:rPr>
        <w:t>Englischer Begriff:</w:t>
      </w:r>
      <w:r>
        <w:t xml:space="preserve"> </w:t>
      </w:r>
      <w:r>
        <w:rPr>
          <w:i/>
        </w:rPr>
        <w:t>Good faith</w:t>
      </w:r>
    </w:p>
    <w:p>
      <w:pPr>
        <w:jc w:val="left"/>
      </w:pPr>
      <w:r>
        <w:rPr>
          <w:b/>
        </w:rPr>
        <w:t>Naheliegende deutsche Übersetzung:</w:t>
      </w:r>
      <w:r>
        <w:t xml:space="preserve"> Treu und Glauben</w:t>
      </w:r>
    </w:p>
    <w:p>
      <w:pPr>
        <w:jc w:val="left"/>
      </w:pPr>
      <w:r>
        <w:rPr>
          <w:b/>
        </w:rPr>
        <w:t>Tatsächliche Bedeutung:</w:t>
      </w:r>
      <w:r>
        <w:t xml:space="preserve"> Das englische Common Law kennt *</w:t>
      </w:r>
      <w:r>
        <w:rPr>
          <w:i/>
        </w:rPr>
        <w:t xml:space="preserve">keine allgemeine Pflicht zum </w:t>
      </w:r>
      <w:r>
        <w:t>good faith*</w:t>
      </w:r>
      <w:r>
        <w:rPr>
          <w:b/>
        </w:rPr>
        <w:t xml:space="preserve"> in Vertragsverhandlungen oder Vertragserfüllung (Walford v Miles, 1992). Im deutschen Recht ist § 242 BGB (Treu und Glauben) eine </w:t>
      </w:r>
      <w:r>
        <w:t>Generalklausel**, die alle Schuldverhältnisse durchzieht und auch vorvertragliche Pflichten begründet (§ 311 Abs. 2 BGB).</w:t>
      </w:r>
    </w:p>
    <w:p>
      <w:pPr>
        <w:jc w:val="left"/>
      </w:pPr>
      <w:r>
        <w:rPr>
          <w:b/>
        </w:rPr>
        <w:t>Beispiel:</w:t>
      </w:r>
      <w:r>
        <w:t xml:space="preserve"> Bricht die Gegenseite Verhandlungen nach deutschem Recht kurz vor Vertragsschluss ohne triftigen Grund ab, können Schadensersatzansprüche aus culpa in contrahendo entstehen – nach englischem Recht nicht.</w:t>
      </w:r>
    </w:p>
    <w:p/>
    <w:p>
      <w:pPr>
        <w:pStyle w:val="Heading2"/>
      </w:pPr>
      <w:r>
        <w:rPr>
          <w:rFonts w:ascii="Times New Roman" w:hAnsi="Times New Roman"/>
        </w:rPr>
        <w:t>17. Liquidated Damages ≠ Schadenspauschalierung</w:t>
      </w:r>
    </w:p>
    <w:p>
      <w:pPr>
        <w:jc w:val="left"/>
      </w:pPr>
      <w:r>
        <w:rPr>
          <w:b/>
        </w:rPr>
        <w:t>Englischer Begriff:</w:t>
      </w:r>
      <w:r>
        <w:t xml:space="preserve"> </w:t>
      </w:r>
      <w:r>
        <w:rPr>
          <w:i/>
        </w:rPr>
        <w:t>Liquidated damages (LD)</w:t>
      </w:r>
    </w:p>
    <w:p>
      <w:pPr>
        <w:jc w:val="left"/>
      </w:pPr>
      <w:r>
        <w:rPr>
          <w:b/>
        </w:rPr>
        <w:t>Naheliegende deutsche Übersetzung:</w:t>
      </w:r>
      <w:r>
        <w:t xml:space="preserve"> Schadenspauschalierung / Vertragsstrafe</w:t>
      </w:r>
    </w:p>
    <w:p>
      <w:pPr>
        <w:jc w:val="left"/>
      </w:pPr>
      <w:r>
        <w:rPr>
          <w:b/>
        </w:rPr>
        <w:t>Tatsächliche Bedeutung:</w:t>
      </w:r>
      <w:r>
        <w:t xml:space="preserve"> </w:t>
      </w:r>
      <w:r>
        <w:rPr>
          <w:i/>
        </w:rPr>
        <w:t>Liquidated damages</w:t>
      </w:r>
      <w:r>
        <w:t xml:space="preserve"> sind eine vorab vereinbarte Schadensersatzsumme, die als </w:t>
      </w:r>
      <w:r>
        <w:rPr>
          <w:i/>
        </w:rPr>
        <w:t>genuine pre-estimate of loss</w:t>
      </w:r>
      <w:r>
        <w:t xml:space="preserve"> gelten muss. Übersteigen sie den tatsächlichen Schaden erheblich, können sie als unzulässige </w:t>
      </w:r>
      <w:r>
        <w:rPr>
          <w:i/>
        </w:rPr>
        <w:t>penalty</w:t>
      </w:r>
      <w:r>
        <w:t xml:space="preserve"> qualifiziert werden. Im deutschen Recht ist die Vertragsstrafe (§ 339 BGB) unabhängig vom tatsächlichen Schaden zulässig, kann aber nach § 343 BGB herabgesetzt werden.</w:t>
      </w:r>
    </w:p>
    <w:p>
      <w:pPr>
        <w:jc w:val="left"/>
      </w:pPr>
      <w:r>
        <w:rPr>
          <w:b/>
        </w:rPr>
        <w:t>Beispiel:</w:t>
      </w:r>
      <w:r>
        <w:t xml:space="preserve"> LD von 2 % des Vertragswertes pro Woche Lieferverzug könnten in einem englischen Vertrag als penalty nichtig sein; in einem deutschen Vertrag würden sie als Vertragsstrafe herabsetzbar, aber wirksam bleiben.</w:t>
      </w:r>
    </w:p>
    <w:p/>
    <w:p>
      <w:pPr>
        <w:pStyle w:val="Heading2"/>
      </w:pPr>
      <w:r>
        <w:rPr>
          <w:rFonts w:ascii="Times New Roman" w:hAnsi="Times New Roman"/>
        </w:rPr>
        <w:t>18. Lien ≠ Pfandrecht / Zurückbehaltungsrecht</w:t>
      </w:r>
    </w:p>
    <w:p>
      <w:pPr>
        <w:jc w:val="left"/>
      </w:pPr>
      <w:r>
        <w:rPr>
          <w:b/>
        </w:rPr>
        <w:t>Englischer Begriff:</w:t>
      </w:r>
      <w:r>
        <w:t xml:space="preserve"> </w:t>
      </w:r>
      <w:r>
        <w:rPr>
          <w:i/>
        </w:rPr>
        <w:t>Lien</w:t>
      </w:r>
    </w:p>
    <w:p>
      <w:pPr>
        <w:jc w:val="left"/>
      </w:pPr>
      <w:r>
        <w:rPr>
          <w:b/>
        </w:rPr>
        <w:t>Naheliegende deutsche Übersetzung:</w:t>
      </w:r>
      <w:r>
        <w:t xml:space="preserve"> Pfandrecht</w:t>
      </w:r>
    </w:p>
    <w:p>
      <w:pPr>
        <w:jc w:val="left"/>
      </w:pPr>
      <w:r>
        <w:rPr>
          <w:b/>
        </w:rPr>
        <w:t>Tatsächliche Bedeutung:</w:t>
      </w:r>
      <w:r>
        <w:t xml:space="preserve"> </w:t>
      </w:r>
      <w:r>
        <w:rPr>
          <w:i/>
        </w:rPr>
        <w:t>Lien</w:t>
      </w:r>
      <w:r>
        <w:t xml:space="preserve"> ist ein Sicherungsrecht nach englischem Recht, das eine Partei berechtigt, Gegenstände zurückzuhalten, bis eine Forderung erfüllt ist (possessory lien). Im deutschen Recht entspricht dies dem </w:t>
      </w:r>
      <w:r>
        <w:rPr>
          <w:b/>
        </w:rPr>
        <w:t>Zurückbehaltungsrecht</w:t>
      </w:r>
      <w:r>
        <w:t xml:space="preserve"> (§ 273 BGB) oder dem </w:t>
      </w:r>
      <w:r>
        <w:rPr>
          <w:b/>
        </w:rPr>
        <w:t>kaufmännischen Zurückbehaltungsrecht</w:t>
      </w:r>
      <w:r>
        <w:t xml:space="preserve"> (§ 369 HGB), nicht einem Pfandrecht (§§ 1204 ff. BGB) mit Verwertungsrecht.</w:t>
      </w:r>
    </w:p>
    <w:p>
      <w:pPr>
        <w:jc w:val="left"/>
      </w:pPr>
      <w:r>
        <w:rPr>
          <w:b/>
        </w:rPr>
        <w:t>Beispiel:</w:t>
      </w:r>
      <w:r>
        <w:t xml:space="preserve"> Ein Lien auf Komponenten, die sich bei einem Zwischenhändler befinden, wäre nach deutschem Recht als Zurückbehaltungsrecht, nicht als Pfandrecht zu behandeln.</w:t>
      </w:r>
    </w:p>
    <w:p/>
    <w:p>
      <w:pPr>
        <w:pStyle w:val="Heading2"/>
      </w:pPr>
      <w:r>
        <w:rPr>
          <w:rFonts w:ascii="Times New Roman" w:hAnsi="Times New Roman"/>
        </w:rPr>
        <w:t>19. Novation ≠ Schuldersetzung / Vertragsübernahme</w:t>
      </w:r>
    </w:p>
    <w:p>
      <w:pPr>
        <w:jc w:val="left"/>
      </w:pPr>
      <w:r>
        <w:rPr>
          <w:b/>
        </w:rPr>
        <w:t>Englischer Begriff:</w:t>
      </w:r>
      <w:r>
        <w:t xml:space="preserve"> </w:t>
      </w:r>
      <w:r>
        <w:rPr>
          <w:i/>
        </w:rPr>
        <w:t>Novation</w:t>
      </w:r>
    </w:p>
    <w:p>
      <w:pPr>
        <w:jc w:val="left"/>
      </w:pPr>
      <w:r>
        <w:rPr>
          <w:b/>
        </w:rPr>
        <w:t>Naheliegende deutsche Übersetzung:</w:t>
      </w:r>
      <w:r>
        <w:t xml:space="preserve"> Schuldersetzung</w:t>
      </w:r>
    </w:p>
    <w:p>
      <w:pPr>
        <w:jc w:val="left"/>
      </w:pPr>
      <w:r>
        <w:rPr>
          <w:b/>
        </w:rPr>
        <w:t>Tatsächliche Bedeutung:</w:t>
      </w:r>
      <w:r>
        <w:t xml:space="preserve"> </w:t>
      </w:r>
      <w:r>
        <w:rPr>
          <w:i/>
        </w:rPr>
        <w:t>Novation</w:t>
      </w:r>
      <w:r>
        <w:t xml:space="preserve"> ersetzt einen alten Vertrag durch einen neuen, wobei alle alten Pflichten erlöschen. Sie erfordert Zustimmung aller Parteien. Im deutschen Recht entspricht dies am ehesten der </w:t>
      </w:r>
      <w:r>
        <w:rPr>
          <w:b/>
        </w:rPr>
        <w:t>befreienden Schuldübernahme</w:t>
      </w:r>
      <w:r>
        <w:t xml:space="preserve"> (§ 414 BGB) oder einer vollständigen Vertragsübernahme (§ 415 BGB). Der Begriff "Novation" hat im deutschen Recht keine eigenständige Bedeutung.</w:t>
      </w:r>
    </w:p>
    <w:p>
      <w:pPr>
        <w:jc w:val="left"/>
      </w:pPr>
      <w:r>
        <w:rPr>
          <w:b/>
        </w:rPr>
        <w:t>Beispiel:</w:t>
      </w:r>
      <w:r>
        <w:t xml:space="preserve"> Bei einer Konzernumstrukturierung der Gegenseite sollte nicht von "Novation" gesprochen werden, sondern konkret eine Vertragsübernahme nach § 415 BGB mit schriftlicher Zustimmung der Mandantin vereinbart werden.</w:t>
      </w:r>
    </w:p>
    <w:p/>
    <w:p>
      <w:pPr>
        <w:pStyle w:val="Heading2"/>
      </w:pPr>
      <w:r>
        <w:rPr>
          <w:rFonts w:ascii="Times New Roman" w:hAnsi="Times New Roman"/>
        </w:rPr>
        <w:t>20. Set-off ≠ Aufrechnung</w:t>
      </w:r>
    </w:p>
    <w:p>
      <w:pPr>
        <w:jc w:val="left"/>
      </w:pPr>
      <w:r>
        <w:rPr>
          <w:b/>
        </w:rPr>
        <w:t>Englischer Begriff:</w:t>
      </w:r>
      <w:r>
        <w:t xml:space="preserve"> </w:t>
      </w:r>
      <w:r>
        <w:rPr>
          <w:i/>
        </w:rPr>
        <w:t>Set-off</w:t>
      </w:r>
    </w:p>
    <w:p>
      <w:pPr>
        <w:jc w:val="left"/>
      </w:pPr>
      <w:r>
        <w:rPr>
          <w:b/>
        </w:rPr>
        <w:t>Naheliegende deutsche Übersetzung:</w:t>
      </w:r>
      <w:r>
        <w:t xml:space="preserve"> Aufrechnung</w:t>
      </w:r>
    </w:p>
    <w:p>
      <w:pPr>
        <w:jc w:val="left"/>
      </w:pPr>
      <w:r>
        <w:rPr>
          <w:b/>
        </w:rPr>
        <w:t>Tatsächliche Bedeutung:</w:t>
      </w:r>
      <w:r>
        <w:t xml:space="preserve"> </w:t>
      </w:r>
      <w:r>
        <w:rPr>
          <w:i/>
        </w:rPr>
        <w:t>Set-off</w:t>
      </w:r>
      <w:r>
        <w:t xml:space="preserve"> im englischen Recht hat unterschiedliche Ausprägungen (</w:t>
      </w:r>
      <w:r>
        <w:rPr>
          <w:i/>
        </w:rPr>
        <w:t>legal set-off</w:t>
      </w:r>
      <w:r>
        <w:t xml:space="preserve">, </w:t>
      </w:r>
      <w:r>
        <w:rPr>
          <w:i/>
        </w:rPr>
        <w:t>equitable set-off</w:t>
      </w:r>
      <w:r>
        <w:t xml:space="preserve">, </w:t>
      </w:r>
      <w:r>
        <w:rPr>
          <w:i/>
        </w:rPr>
        <w:t>transaction set-off</w:t>
      </w:r>
      <w:r>
        <w:t>), die verschiedene Voraussetzungen haben. Im deutschen Recht ist die Aufrechnung (§§ 387 ff. BGB) möglich, wenn Gegenseitigkeit, Gleichartigkeit und Fälligkeit vorliegen. Der vollständige Ausschluss der Aufrechnung in AGB ist nach § 309 Nr. 3 BGB unwirksam (außer bei unbestrittenen oder rechtskräftig festgestellten Forderungen).</w:t>
      </w:r>
    </w:p>
    <w:p>
      <w:pPr>
        <w:jc w:val="left"/>
      </w:pPr>
      <w:r>
        <w:rPr>
          <w:b/>
        </w:rPr>
        <w:t>Beispiel:</w:t>
      </w:r>
      <w:r>
        <w:t xml:space="preserve"> Eine Klausel </w:t>
      </w:r>
      <w:r>
        <w:rPr>
          <w:i/>
        </w:rPr>
        <w:t>"Buyer shall have no right of set-off"</w:t>
      </w:r>
      <w:r>
        <w:t xml:space="preserve"> würde nach deutschem Recht in AGB einer Inhaltskontrolle nicht standhalten.</w:t>
      </w:r>
    </w:p>
    <w:p/>
    <w:p>
      <w:pPr>
        <w:pStyle w:val="Heading2"/>
      </w:pPr>
      <w:r>
        <w:rPr>
          <w:rFonts w:ascii="Times New Roman" w:hAnsi="Times New Roman"/>
        </w:rPr>
        <w:t>21. Title ≠ Eigentum / Titel</w:t>
      </w:r>
    </w:p>
    <w:p>
      <w:pPr>
        <w:jc w:val="left"/>
      </w:pPr>
      <w:r>
        <w:rPr>
          <w:b/>
        </w:rPr>
        <w:t>Englischer Begriff:</w:t>
      </w:r>
      <w:r>
        <w:t xml:space="preserve"> </w:t>
      </w:r>
      <w:r>
        <w:rPr>
          <w:i/>
        </w:rPr>
        <w:t>Title (to goods)</w:t>
      </w:r>
    </w:p>
    <w:p>
      <w:pPr>
        <w:jc w:val="left"/>
      </w:pPr>
      <w:r>
        <w:rPr>
          <w:b/>
        </w:rPr>
        <w:t>Naheliegende deutsche Übersetzung:</w:t>
      </w:r>
      <w:r>
        <w:t xml:space="preserve"> Eigentum</w:t>
      </w:r>
    </w:p>
    <w:p>
      <w:pPr>
        <w:jc w:val="left"/>
      </w:pPr>
      <w:r>
        <w:rPr>
          <w:b/>
        </w:rPr>
        <w:t>Tatsächliche Bedeutung:</w:t>
      </w:r>
      <w:r>
        <w:t xml:space="preserve"> </w:t>
      </w:r>
      <w:r>
        <w:rPr>
          <w:i/>
        </w:rPr>
        <w:t>Title</w:t>
      </w:r>
      <w:r>
        <w:t xml:space="preserve"> im Sale of Goods-Kontext meint das Eigentumsrecht an Waren. Im deutschen Recht ist das Eigentumsrecht (</w:t>
      </w:r>
      <w:r>
        <w:rPr>
          <w:i/>
        </w:rPr>
        <w:t>Eigentum</w:t>
      </w:r>
      <w:r>
        <w:t xml:space="preserve">, § 903 BGB) streng von der schuldrechtlichen Position getrennt. Ein Eigentumsvorbehalt (§ 449 BGB) heißt auf Englisch </w:t>
      </w:r>
      <w:r>
        <w:rPr>
          <w:i/>
        </w:rPr>
        <w:t>retention of title</w:t>
      </w:r>
      <w:r>
        <w:t xml:space="preserve"> oder </w:t>
      </w:r>
      <w:r>
        <w:rPr>
          <w:i/>
        </w:rPr>
        <w:t>Romalpa clause</w:t>
      </w:r>
      <w:r>
        <w:t>.</w:t>
      </w:r>
    </w:p>
    <w:p>
      <w:pPr>
        <w:jc w:val="left"/>
      </w:pPr>
      <w:r>
        <w:rPr>
          <w:b/>
        </w:rPr>
        <w:t>Beispiel:</w:t>
      </w:r>
      <w:r>
        <w:t xml:space="preserve"> Die Klausel </w:t>
      </w:r>
      <w:r>
        <w:rPr>
          <w:i/>
        </w:rPr>
        <w:t>"Title shall pass upon full payment"</w:t>
      </w:r>
      <w:r>
        <w:t xml:space="preserve"> entspricht dem deutschen Eigentumsvorbehalt nach § 449 BGB – sollte aber im Vertrag als solcher bezeichnet werden, um Missverständnisse zu vermeiden.</w:t>
      </w:r>
    </w:p>
    <w:p/>
    <w:p>
      <w:pPr>
        <w:pStyle w:val="Heading2"/>
      </w:pPr>
      <w:r>
        <w:rPr>
          <w:rFonts w:ascii="Times New Roman" w:hAnsi="Times New Roman"/>
        </w:rPr>
        <w:t>22. Breach ≠ Pflichtverletzung (ohne Weiteres)</w:t>
      </w:r>
    </w:p>
    <w:p>
      <w:pPr>
        <w:jc w:val="left"/>
      </w:pPr>
      <w:r>
        <w:rPr>
          <w:b/>
        </w:rPr>
        <w:t>Englischer Begriff:</w:t>
      </w:r>
      <w:r>
        <w:t xml:space="preserve"> </w:t>
      </w:r>
      <w:r>
        <w:rPr>
          <w:i/>
        </w:rPr>
        <w:t>Breach of contract</w:t>
      </w:r>
    </w:p>
    <w:p>
      <w:pPr>
        <w:jc w:val="left"/>
      </w:pPr>
      <w:r>
        <w:rPr>
          <w:b/>
        </w:rPr>
        <w:t>Naheliegende deutsche Übersetzung:</w:t>
      </w:r>
      <w:r>
        <w:t xml:space="preserve"> Pflichtverletzung</w:t>
      </w:r>
    </w:p>
    <w:p>
      <w:pPr>
        <w:jc w:val="left"/>
      </w:pPr>
      <w:r>
        <w:rPr>
          <w:b/>
        </w:rPr>
        <w:t>Tatsächliche Bedeutung:</w:t>
      </w:r>
      <w:r>
        <w:t xml:space="preserve"> </w:t>
      </w:r>
      <w:r>
        <w:rPr>
          <w:i/>
        </w:rPr>
        <w:t>Breach</w:t>
      </w:r>
      <w:r>
        <w:t xml:space="preserve"> im Common Law setzt nur eine objektive Abweichung von der Vertragserfüllung voraus – kein Verschulden. Im deutschen Recht hängen die Rechtsfolgen einer Pflichtverletzung (§ 280 BGB) hingegen grundsätzlich vom </w:t>
      </w:r>
      <w:r>
        <w:rPr>
          <w:b/>
        </w:rPr>
        <w:t>Vertretenmüssen</w:t>
      </w:r>
      <w:r>
        <w:t xml:space="preserve"> (§ 276 BGB) ab. Für den Rücktritt (§ 323 BGB) ist kein Verschulden erforderlich; für Schadensersatz schon.</w:t>
      </w:r>
    </w:p>
    <w:p>
      <w:pPr>
        <w:jc w:val="left"/>
      </w:pPr>
      <w:r>
        <w:rPr>
          <w:b/>
        </w:rPr>
        <w:t>Beispiel:</w:t>
      </w:r>
      <w:r>
        <w:t xml:space="preserve"> Liefert der Sensor aufgrund eines Zuliefererausfalls zu spät, ist das nach deutschem Recht bei unverschuldetem Lieferverzug kein Fall des § 280 BGB; nach Common Law liegt automatisch ein </w:t>
      </w:r>
      <w:r>
        <w:rPr>
          <w:i/>
        </w:rPr>
        <w:t>breach</w:t>
      </w:r>
      <w:r>
        <w:t xml:space="preserve"> vor (Strict Performance).</w:t>
      </w:r>
    </w:p>
    <w:p/>
    <w:p>
      <w:pPr>
        <w:pStyle w:val="Heading2"/>
      </w:pPr>
      <w:r>
        <w:rPr>
          <w:rFonts w:ascii="Times New Roman" w:hAnsi="Times New Roman"/>
        </w:rPr>
        <w:t>23. Covenant ≠ Versprechen / Nebenabrede</w:t>
      </w:r>
    </w:p>
    <w:p>
      <w:pPr>
        <w:jc w:val="left"/>
      </w:pPr>
      <w:r>
        <w:rPr>
          <w:b/>
        </w:rPr>
        <w:t>Englischer Begriff:</w:t>
      </w:r>
      <w:r>
        <w:t xml:space="preserve"> </w:t>
      </w:r>
      <w:r>
        <w:rPr>
          <w:i/>
        </w:rPr>
        <w:t>Covenant</w:t>
      </w:r>
    </w:p>
    <w:p>
      <w:pPr>
        <w:jc w:val="left"/>
      </w:pPr>
      <w:r>
        <w:rPr>
          <w:b/>
        </w:rPr>
        <w:t>Naheliegende deutsche Übersetzung:</w:t>
      </w:r>
      <w:r>
        <w:t xml:space="preserve"> Versprechen / Vereinbarung</w:t>
      </w:r>
    </w:p>
    <w:p>
      <w:pPr>
        <w:jc w:val="left"/>
      </w:pPr>
      <w:r>
        <w:rPr>
          <w:b/>
        </w:rPr>
        <w:t>Tatsächliche Bedeutung:</w:t>
      </w:r>
      <w:r>
        <w:t xml:space="preserve"> </w:t>
      </w:r>
      <w:r>
        <w:rPr>
          <w:i/>
        </w:rPr>
        <w:t>Covenant</w:t>
      </w:r>
      <w:r>
        <w:t xml:space="preserve"> im englischen Recht bezeichnet eine durch </w:t>
      </w:r>
      <w:r>
        <w:rPr>
          <w:i/>
        </w:rPr>
        <w:t>deed</w:t>
      </w:r>
      <w:r>
        <w:t xml:space="preserve"> (Urkunde mit Siegel) abgegebene verbindliche Verpflichtung, die keine Consideration erfordert. </w:t>
      </w:r>
      <w:r>
        <w:rPr>
          <w:i/>
        </w:rPr>
        <w:t>Restrictive covenants</w:t>
      </w:r>
      <w:r>
        <w:t xml:space="preserve"> sind Wettbewerbsverbote, die auch Dritte binden können (bei Grundstücken). Im deutschen Recht hat das Wort keine eigene rechtliche Kategorie; es entspricht einer einfachen vertraglichen Verpflichtung.</w:t>
      </w:r>
    </w:p>
    <w:p>
      <w:pPr>
        <w:jc w:val="left"/>
      </w:pPr>
      <w:r>
        <w:rPr>
          <w:b/>
        </w:rPr>
        <w:t>Beispiel:</w:t>
      </w:r>
      <w:r>
        <w:t xml:space="preserve"> Ein </w:t>
      </w:r>
      <w:r>
        <w:rPr>
          <w:i/>
        </w:rPr>
        <w:t>post-termination non-compete covenant</w:t>
      </w:r>
      <w:r>
        <w:t xml:space="preserve"> in einem englischen Vertrag entspricht einem nachvertraglichen Wettbewerbsverbot nach § 74 HGB (mit Karenzentschädigung).</w:t>
      </w:r>
    </w:p>
    <w:p/>
    <w:p>
      <w:pPr>
        <w:pStyle w:val="Heading2"/>
      </w:pPr>
      <w:r>
        <w:rPr>
          <w:rFonts w:ascii="Times New Roman" w:hAnsi="Times New Roman"/>
        </w:rPr>
        <w:t>24. Entire Agreement Clause ≠ Vollständigkeitsklausel (vollständig)</w:t>
      </w:r>
    </w:p>
    <w:p>
      <w:pPr>
        <w:jc w:val="left"/>
      </w:pPr>
      <w:r>
        <w:rPr>
          <w:b/>
        </w:rPr>
        <w:t>Englischer Begriff:</w:t>
      </w:r>
      <w:r>
        <w:t xml:space="preserve"> </w:t>
      </w:r>
      <w:r>
        <w:rPr>
          <w:i/>
        </w:rPr>
        <w:t>Entire agreement clause / Merger clause</w:t>
      </w:r>
    </w:p>
    <w:p>
      <w:pPr>
        <w:jc w:val="left"/>
      </w:pPr>
      <w:r>
        <w:rPr>
          <w:b/>
        </w:rPr>
        <w:t>Naheliegende deutsche Übersetzung:</w:t>
      </w:r>
      <w:r>
        <w:t xml:space="preserve"> Vollständigkeitsklausel / Integrationsklausel</w:t>
      </w:r>
    </w:p>
    <w:p>
      <w:pPr>
        <w:jc w:val="left"/>
      </w:pPr>
      <w:r>
        <w:rPr>
          <w:b/>
        </w:rPr>
        <w:t>Tatsächliche Bedeutung:</w:t>
      </w:r>
      <w:r>
        <w:t xml:space="preserve"> Im englischen Recht schließt eine </w:t>
      </w:r>
      <w:r>
        <w:rPr>
          <w:i/>
        </w:rPr>
        <w:t>entire agreement clause</w:t>
      </w:r>
      <w:r>
        <w:t xml:space="preserve"> alle vorherigen Abreden, Zusicherungen und vorvertraglichen Erklärungen aus dem Vertragsinhalt aus. Im deutschen Recht hat eine solche Klausel ähnliche Wirkung (§ 305b BGB schützt Individualabreden; vorvertragliche Zusicherungen können nach § 311 Abs. 2 BGB dennoch haftungsrelevant bleiben).</w:t>
      </w:r>
    </w:p>
    <w:p>
      <w:pPr>
        <w:jc w:val="left"/>
      </w:pPr>
      <w:r>
        <w:rPr>
          <w:b/>
        </w:rPr>
        <w:t>Beispiel:</w:t>
      </w:r>
      <w:r>
        <w:t xml:space="preserve"> Hat der CEO der Gegenseite in der Verhandlung mündlich eine Liefergarantie abgegeben, schützt die </w:t>
      </w:r>
      <w:r>
        <w:rPr>
          <w:i/>
        </w:rPr>
        <w:t>entire agreement clause</w:t>
      </w:r>
      <w:r>
        <w:t xml:space="preserve"> den Lieferanten nach englischem Recht nicht vor einer </w:t>
      </w:r>
      <w:r>
        <w:rPr>
          <w:i/>
        </w:rPr>
        <w:t>misrepresentation</w:t>
      </w:r>
      <w:r>
        <w:t>-Klage.</w:t>
      </w:r>
    </w:p>
    <w:p/>
    <w:p>
      <w:pPr>
        <w:pStyle w:val="Heading2"/>
      </w:pPr>
      <w:r>
        <w:rPr>
          <w:rFonts w:ascii="Times New Roman" w:hAnsi="Times New Roman"/>
        </w:rPr>
        <w:t>25. Specific Performance ≠ Erfüllungsklage (direkt vergleichbar)</w:t>
      </w:r>
    </w:p>
    <w:p>
      <w:pPr>
        <w:jc w:val="left"/>
      </w:pPr>
      <w:r>
        <w:rPr>
          <w:b/>
        </w:rPr>
        <w:t>Englischer Begriff:</w:t>
      </w:r>
      <w:r>
        <w:t xml:space="preserve"> </w:t>
      </w:r>
      <w:r>
        <w:rPr>
          <w:i/>
        </w:rPr>
        <w:t>Specific performance</w:t>
      </w:r>
    </w:p>
    <w:p>
      <w:pPr>
        <w:jc w:val="left"/>
      </w:pPr>
      <w:r>
        <w:rPr>
          <w:b/>
        </w:rPr>
        <w:t>Naheliegende deutsche Übersetzung:</w:t>
      </w:r>
      <w:r>
        <w:t xml:space="preserve"> Erfüllungsklage</w:t>
      </w:r>
    </w:p>
    <w:p>
      <w:pPr>
        <w:jc w:val="left"/>
      </w:pPr>
      <w:r>
        <w:rPr>
          <w:b/>
        </w:rPr>
        <w:t>Tatsächliche Bedeutung:</w:t>
      </w:r>
      <w:r>
        <w:t xml:space="preserve"> Im deutschen Recht hat der Gläubiger grundsätzlich einen einklagbaren </w:t>
      </w:r>
      <w:r>
        <w:rPr>
          <w:b/>
        </w:rPr>
        <w:t>Primärerfüllungsanspruch</w:t>
      </w:r>
      <w:r>
        <w:t xml:space="preserve"> (§ 241 Abs. 1 BGB), der direkt vollstreckbar ist (§§ 883 ff. ZPO). Im englischen Common Law ist </w:t>
      </w:r>
      <w:r>
        <w:rPr>
          <w:i/>
        </w:rPr>
        <w:t>Specific Performance</w:t>
      </w:r>
      <w:r>
        <w:t xml:space="preserve"> dagegen ein </w:t>
      </w:r>
      <w:r>
        <w:rPr>
          <w:b/>
        </w:rPr>
        <w:t>equitable remedy</w:t>
      </w:r>
      <w:r>
        <w:t xml:space="preserve"> (Ermessensentscheidung des Gerichts), das nur gewährt wird, wenn Schadensersatz nicht ausreicht (typisch bei einzigartigen Waren oder Grundstücken).</w:t>
      </w:r>
    </w:p>
    <w:p>
      <w:pPr>
        <w:jc w:val="left"/>
      </w:pPr>
      <w:r>
        <w:rPr>
          <w:b/>
        </w:rPr>
        <w:t>Beispiel:</w:t>
      </w:r>
      <w:r>
        <w:t xml:space="preserve"> Weigert sich Blue Harbor (UK) Ltd., die RS-900X-Sensoren abzunehmen, kann RheinMain Sensors vor deutschen Gerichten auf Abnahme und Kaufpreiszahlung klagen – ein direkter Leistungsanspruch. Vor englischen Gerichten wäre </w:t>
      </w:r>
      <w:r>
        <w:rPr>
          <w:i/>
        </w:rPr>
        <w:t>specific performance</w:t>
      </w:r>
      <w:r>
        <w:t xml:space="preserve"> nur in Ausnahmefällen verfügbar; primär würde Schadensersatz zugesprochen.</w:t>
      </w:r>
    </w:p>
    <w:p/>
    <w:p>
      <w:pPr>
        <w:pStyle w:val="Heading2"/>
      </w:pPr>
      <w:r>
        <w:rPr>
          <w:rFonts w:ascii="Times New Roman" w:hAnsi="Times New Roman"/>
        </w:rPr>
        <w:t>Zusammenfassung für das Management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Begriff Englisch</w:t>
            </w:r>
          </w:p>
        </w:tc>
        <w:tc>
          <w:tcPr>
            <w:tcW w:type="dxa" w:w="3024"/>
          </w:tcPr>
          <w:p>
            <w:r>
              <w:rPr>
                <w:rFonts w:ascii="Times New Roman" w:hAnsi="Times New Roman"/>
                <w:b/>
                <w:sz w:val="20"/>
              </w:rPr>
              <w:t>Falle</w:t>
            </w:r>
          </w:p>
        </w:tc>
        <w:tc>
          <w:tcPr>
            <w:tcW w:type="dxa" w:w="3024"/>
          </w:tcPr>
          <w:p>
            <w:r>
              <w:rPr>
                <w:rFonts w:ascii="Times New Roman" w:hAnsi="Times New Roman"/>
                <w:b/>
                <w:sz w:val="20"/>
              </w:rPr>
              <w:t>Richtige Entsprechung DE</w:t>
            </w:r>
          </w:p>
        </w:tc>
      </w:tr>
      <w:tr>
        <w:tc>
          <w:tcPr>
            <w:tcW w:type="dxa" w:w="3024"/>
          </w:tcPr>
          <w:p>
            <w:r>
              <w:rPr>
                <w:rFonts w:ascii="Times New Roman" w:hAnsi="Times New Roman"/>
                <w:sz w:val="20"/>
              </w:rPr>
              <w:t>Indemnity</w:t>
            </w:r>
          </w:p>
        </w:tc>
        <w:tc>
          <w:tcPr>
            <w:tcW w:type="dxa" w:w="3024"/>
          </w:tcPr>
          <w:p>
            <w:r>
              <w:rPr>
                <w:rFonts w:ascii="Times New Roman" w:hAnsi="Times New Roman"/>
                <w:sz w:val="20"/>
              </w:rPr>
              <w:t>Nicht = Schadensersatz (Verschulden fehlt)</w:t>
            </w:r>
          </w:p>
        </w:tc>
        <w:tc>
          <w:tcPr>
            <w:tcW w:type="dxa" w:w="3024"/>
          </w:tcPr>
          <w:p>
            <w:r>
              <w:rPr>
                <w:rFonts w:ascii="Times New Roman" w:hAnsi="Times New Roman"/>
                <w:sz w:val="20"/>
              </w:rPr>
              <w:t>Freistellung / Schuldbeitritt</w:t>
            </w:r>
          </w:p>
        </w:tc>
      </w:tr>
      <w:tr>
        <w:tc>
          <w:tcPr>
            <w:tcW w:type="dxa" w:w="3024"/>
          </w:tcPr>
          <w:p>
            <w:r>
              <w:rPr>
                <w:rFonts w:ascii="Times New Roman" w:hAnsi="Times New Roman"/>
                <w:sz w:val="20"/>
              </w:rPr>
              <w:t>Guarantee</w:t>
            </w:r>
          </w:p>
        </w:tc>
        <w:tc>
          <w:tcPr>
            <w:tcW w:type="dxa" w:w="3024"/>
          </w:tcPr>
          <w:p>
            <w:r>
              <w:rPr>
                <w:rFonts w:ascii="Times New Roman" w:hAnsi="Times New Roman"/>
                <w:sz w:val="20"/>
              </w:rPr>
              <w:t>Nicht = DE-Garantie (akzessorisch!)</w:t>
            </w:r>
          </w:p>
        </w:tc>
        <w:tc>
          <w:tcPr>
            <w:tcW w:type="dxa" w:w="3024"/>
          </w:tcPr>
          <w:p>
            <w:r>
              <w:rPr>
                <w:rFonts w:ascii="Times New Roman" w:hAnsi="Times New Roman"/>
                <w:sz w:val="20"/>
              </w:rPr>
              <w:t>Bürgschaft / Akzessorische Einstandspflicht</w:t>
            </w:r>
          </w:p>
        </w:tc>
      </w:tr>
      <w:tr>
        <w:tc>
          <w:tcPr>
            <w:tcW w:type="dxa" w:w="3024"/>
          </w:tcPr>
          <w:p>
            <w:r>
              <w:rPr>
                <w:rFonts w:ascii="Times New Roman" w:hAnsi="Times New Roman"/>
                <w:sz w:val="20"/>
              </w:rPr>
              <w:t>Warranty</w:t>
            </w:r>
          </w:p>
        </w:tc>
        <w:tc>
          <w:tcPr>
            <w:tcW w:type="dxa" w:w="3024"/>
          </w:tcPr>
          <w:p>
            <w:r>
              <w:rPr>
                <w:rFonts w:ascii="Times New Roman" w:hAnsi="Times New Roman"/>
                <w:sz w:val="20"/>
              </w:rPr>
              <w:t>Nicht = Sachmängelhaftung BGB</w:t>
            </w:r>
          </w:p>
        </w:tc>
        <w:tc>
          <w:tcPr>
            <w:tcW w:type="dxa" w:w="3024"/>
          </w:tcPr>
          <w:p>
            <w:r>
              <w:rPr>
                <w:rFonts w:ascii="Times New Roman" w:hAnsi="Times New Roman"/>
                <w:sz w:val="20"/>
              </w:rPr>
              <w:t>Vertragliches Qualitätsversprechen</w:t>
            </w:r>
          </w:p>
        </w:tc>
      </w:tr>
      <w:tr>
        <w:tc>
          <w:tcPr>
            <w:tcW w:type="dxa" w:w="3024"/>
          </w:tcPr>
          <w:p>
            <w:r>
              <w:rPr>
                <w:rFonts w:ascii="Times New Roman" w:hAnsi="Times New Roman"/>
                <w:sz w:val="20"/>
              </w:rPr>
              <w:t>Consequential damages</w:t>
            </w:r>
          </w:p>
        </w:tc>
        <w:tc>
          <w:tcPr>
            <w:tcW w:type="dxa" w:w="3024"/>
          </w:tcPr>
          <w:p>
            <w:r>
              <w:rPr>
                <w:rFonts w:ascii="Times New Roman" w:hAnsi="Times New Roman"/>
                <w:sz w:val="20"/>
              </w:rPr>
              <w:t>Enger als "Folgeschäden" DE</w:t>
            </w:r>
          </w:p>
        </w:tc>
        <w:tc>
          <w:tcPr>
            <w:tcW w:type="dxa" w:w="3024"/>
          </w:tcPr>
          <w:p>
            <w:r>
              <w:rPr>
                <w:rFonts w:ascii="Times New Roman" w:hAnsi="Times New Roman"/>
                <w:sz w:val="20"/>
              </w:rPr>
              <w:t>Mittelbare/indirekte Schäden</w:t>
            </w:r>
          </w:p>
        </w:tc>
      </w:tr>
      <w:tr>
        <w:tc>
          <w:tcPr>
            <w:tcW w:type="dxa" w:w="3024"/>
          </w:tcPr>
          <w:p>
            <w:r>
              <w:rPr>
                <w:rFonts w:ascii="Times New Roman" w:hAnsi="Times New Roman"/>
                <w:sz w:val="20"/>
              </w:rPr>
              <w:t>Consideration</w:t>
            </w:r>
          </w:p>
        </w:tc>
        <w:tc>
          <w:tcPr>
            <w:tcW w:type="dxa" w:w="3024"/>
          </w:tcPr>
          <w:p>
            <w:r>
              <w:rPr>
                <w:rFonts w:ascii="Times New Roman" w:hAnsi="Times New Roman"/>
                <w:sz w:val="20"/>
              </w:rPr>
              <w:t>In DE irrelevant als Voraussetzung</w:t>
            </w:r>
          </w:p>
        </w:tc>
        <w:tc>
          <w:tcPr>
            <w:tcW w:type="dxa" w:w="3024"/>
          </w:tcPr>
          <w:p>
            <w:r>
              <w:rPr>
                <w:rFonts w:ascii="Times New Roman" w:hAnsi="Times New Roman"/>
                <w:sz w:val="20"/>
              </w:rPr>
              <w:t>Gegenleistung / (keine Entsprechung)</w:t>
            </w:r>
          </w:p>
        </w:tc>
      </w:tr>
      <w:tr>
        <w:tc>
          <w:tcPr>
            <w:tcW w:type="dxa" w:w="3024"/>
          </w:tcPr>
          <w:p>
            <w:r>
              <w:rPr>
                <w:rFonts w:ascii="Times New Roman" w:hAnsi="Times New Roman"/>
                <w:sz w:val="20"/>
              </w:rPr>
              <w:t>Penalty clause</w:t>
            </w:r>
          </w:p>
        </w:tc>
        <w:tc>
          <w:tcPr>
            <w:tcW w:type="dxa" w:w="3024"/>
          </w:tcPr>
          <w:p>
            <w:r>
              <w:rPr>
                <w:rFonts w:ascii="Times New Roman" w:hAnsi="Times New Roman"/>
                <w:sz w:val="20"/>
              </w:rPr>
              <w:t>In EN oft nichtig</w:t>
            </w:r>
          </w:p>
        </w:tc>
        <w:tc>
          <w:tcPr>
            <w:tcW w:type="dxa" w:w="3024"/>
          </w:tcPr>
          <w:p>
            <w:r>
              <w:rPr>
                <w:rFonts w:ascii="Times New Roman" w:hAnsi="Times New Roman"/>
                <w:sz w:val="20"/>
              </w:rPr>
              <w:t>Vertragsstrafe (§ 339 BGB, gültig)</w:t>
            </w:r>
          </w:p>
        </w:tc>
      </w:tr>
      <w:tr>
        <w:tc>
          <w:tcPr>
            <w:tcW w:type="dxa" w:w="3024"/>
          </w:tcPr>
          <w:p>
            <w:r>
              <w:rPr>
                <w:rFonts w:ascii="Times New Roman" w:hAnsi="Times New Roman"/>
                <w:sz w:val="20"/>
              </w:rPr>
              <w:t>Rescission</w:t>
            </w:r>
          </w:p>
        </w:tc>
        <w:tc>
          <w:tcPr>
            <w:tcW w:type="dxa" w:w="3024"/>
          </w:tcPr>
          <w:p>
            <w:r>
              <w:rPr>
                <w:rFonts w:ascii="Times New Roman" w:hAnsi="Times New Roman"/>
                <w:sz w:val="20"/>
              </w:rPr>
              <w:t>Rückwirkend, nicht = Rücktritt</w:t>
            </w:r>
          </w:p>
        </w:tc>
        <w:tc>
          <w:tcPr>
            <w:tcW w:type="dxa" w:w="3024"/>
          </w:tcPr>
          <w:p>
            <w:r>
              <w:rPr>
                <w:rFonts w:ascii="Times New Roman" w:hAnsi="Times New Roman"/>
                <w:sz w:val="20"/>
              </w:rPr>
              <w:t>Anfechtung (ähnlicher)</w:t>
            </w:r>
          </w:p>
        </w:tc>
      </w:tr>
      <w:tr>
        <w:tc>
          <w:tcPr>
            <w:tcW w:type="dxa" w:w="3024"/>
          </w:tcPr>
          <w:p>
            <w:r>
              <w:rPr>
                <w:rFonts w:ascii="Times New Roman" w:hAnsi="Times New Roman"/>
                <w:sz w:val="20"/>
              </w:rPr>
              <w:t>Good faith</w:t>
            </w:r>
          </w:p>
        </w:tc>
        <w:tc>
          <w:tcPr>
            <w:tcW w:type="dxa" w:w="3024"/>
          </w:tcPr>
          <w:p>
            <w:r>
              <w:rPr>
                <w:rFonts w:ascii="Times New Roman" w:hAnsi="Times New Roman"/>
                <w:sz w:val="20"/>
              </w:rPr>
              <w:t>In EN kein allg. Gebot</w:t>
            </w:r>
          </w:p>
        </w:tc>
        <w:tc>
          <w:tcPr>
            <w:tcW w:type="dxa" w:w="3024"/>
          </w:tcPr>
          <w:p>
            <w:r>
              <w:rPr>
                <w:rFonts w:ascii="Times New Roman" w:hAnsi="Times New Roman"/>
                <w:sz w:val="20"/>
              </w:rPr>
              <w:t>§ 242 BGB (Generalklausel)</w:t>
            </w:r>
          </w:p>
        </w:tc>
      </w:tr>
      <w:tr>
        <w:tc>
          <w:tcPr>
            <w:tcW w:type="dxa" w:w="3024"/>
          </w:tcPr>
          <w:p>
            <w:r>
              <w:rPr>
                <w:rFonts w:ascii="Times New Roman" w:hAnsi="Times New Roman"/>
                <w:sz w:val="20"/>
              </w:rPr>
              <w:t>Set-off</w:t>
            </w:r>
          </w:p>
        </w:tc>
        <w:tc>
          <w:tcPr>
            <w:tcW w:type="dxa" w:w="3024"/>
          </w:tcPr>
          <w:p>
            <w:r>
              <w:rPr>
                <w:rFonts w:ascii="Times New Roman" w:hAnsi="Times New Roman"/>
                <w:sz w:val="20"/>
              </w:rPr>
              <w:t>Nuancierter als Aufrechnung</w:t>
            </w:r>
          </w:p>
        </w:tc>
        <w:tc>
          <w:tcPr>
            <w:tcW w:type="dxa" w:w="3024"/>
          </w:tcPr>
          <w:p>
            <w:r>
              <w:rPr>
                <w:rFonts w:ascii="Times New Roman" w:hAnsi="Times New Roman"/>
                <w:sz w:val="20"/>
              </w:rPr>
              <w:t>Aufrechnung (§§ 387 ff. BGB)</w:t>
            </w:r>
          </w:p>
        </w:tc>
      </w:tr>
      <w:tr>
        <w:tc>
          <w:tcPr>
            <w:tcW w:type="dxa" w:w="3024"/>
          </w:tcPr>
          <w:p>
            <w:r>
              <w:rPr>
                <w:rFonts w:ascii="Times New Roman" w:hAnsi="Times New Roman"/>
                <w:sz w:val="20"/>
              </w:rPr>
              <w:t>Specific performance</w:t>
            </w:r>
          </w:p>
        </w:tc>
        <w:tc>
          <w:tcPr>
            <w:tcW w:type="dxa" w:w="3024"/>
          </w:tcPr>
          <w:p>
            <w:r>
              <w:rPr>
                <w:rFonts w:ascii="Times New Roman" w:hAnsi="Times New Roman"/>
                <w:sz w:val="20"/>
              </w:rPr>
              <w:t>Nur im Ermessen in EN</w:t>
            </w:r>
          </w:p>
        </w:tc>
        <w:tc>
          <w:tcPr>
            <w:tcW w:type="dxa" w:w="3024"/>
          </w:tcPr>
          <w:p>
            <w:r>
              <w:rPr>
                <w:rFonts w:ascii="Times New Roman" w:hAnsi="Times New Roman"/>
                <w:sz w:val="20"/>
              </w:rPr>
              <w:t>Primärerfüllungsanspruch (§ 241 BGB)</w:t>
            </w:r>
          </w:p>
        </w:tc>
      </w:tr>
    </w:tbl>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RheinMain Sensors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RheinMain Sensors GmbH</w:t>
    </w:r>
  </w:p>
  <w:p>
    <w:pPr>
      <w:jc w:val="left"/>
      <w:pBdr>
        <w:bottom w:val="single" w:sz="6" w:space="2" w:color="8A6A1F"/>
      </w:pBdr>
    </w:pPr>
    <w:r>
      <w:rPr>
        <w:rFonts w:ascii="Times New Roman" w:hAnsi="Times New Roman"/>
        <w:color w:val="6B6B66"/>
        <w:sz w:val="16"/>
      </w:rPr>
      <w:t>Unternehmen · Aktenzeichen: CLC-2024-HH-007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