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Erpressungsschreiben AkiraNext — Dokumentation und Rechtliche Bewertung</w:t>
      </w:r>
    </w:p>
    <w:p>
      <w:pPr>
        <w:jc w:val="left"/>
      </w:pPr>
      <w:r>
        <w:rPr>
          <w:b/>
        </w:rPr>
        <w:t>Aktenstück:</w:t>
      </w:r>
      <w:r>
        <w:t xml:space="preserve"> 03</w:t>
      </w:r>
    </w:p>
    <w:p>
      <w:pPr>
        <w:jc w:val="left"/>
      </w:pPr>
      <w:r>
        <w:rPr>
          <w:b/>
        </w:rPr>
        <w:t>Mandantin:</w:t>
      </w:r>
      <w:r>
        <w:t xml:space="preserve"> Frischetrans Mittelrhein GmbH</w:t>
      </w:r>
    </w:p>
    <w:p>
      <w:pPr>
        <w:jc w:val="left"/>
      </w:pPr>
      <w:r>
        <w:rPr>
          <w:b/>
        </w:rPr>
        <w:t>Datum:</w:t>
      </w:r>
      <w:r>
        <w:t xml:space="preserve"> 06.05.2026</w:t>
      </w:r>
    </w:p>
    <w:p>
      <w:pPr>
        <w:jc w:val="left"/>
      </w:pPr>
      <w:r>
        <w:rPr>
          <w:b/>
        </w:rPr>
        <w:t>Bearbeiter:</w:t>
      </w:r>
      <w:r>
        <w:t xml:space="preserve"> RA Lukas Drosten, Fachanwalt für IT-Recht</w:t>
      </w:r>
    </w:p>
    <w:p/>
    <w:p>
      <w:pPr>
        <w:pStyle w:val="Heading2"/>
      </w:pPr>
      <w:r>
        <w:rPr>
          <w:rFonts w:ascii="Times New Roman" w:hAnsi="Times New Roman"/>
        </w:rPr>
        <w:t>1. Originaltext des Erpressungsschreibens (transkribiert, redaktionell geschwärzt)</w:t>
      </w:r>
    </w:p>
    <w:p>
      <w:pPr>
        <w:jc w:val="left"/>
      </w:pPr>
      <w:r>
        <w:t xml:space="preserve">Das folgende Schreiben wurde am 06.05.2026 um ca. 04:31 Uhr auf allen verschlüsselten Systemen als Desktop-Hintergrund sowie als Textdatei </w:t>
      </w:r>
      <w:r>
        <w:t>!!! AKIRA_NEXT_README.txt</w:t>
      </w:r>
      <w:r>
        <w:t xml:space="preserve"> auf allen betroffenen Laufwerken vorgefunden. Die Originalformatierung (ASCII-Art-Banner wurde entfernt) wird nachfolgend wiedergegeben. Krypto-Wallet-Adresse und Tor-Onion-Adressen sind zu Ermittlungszwecken im Original dokumentiert (ZAC Mainz, Strafakte 421 UJs 6611/26), hier geschwärzt.</w:t>
      </w:r>
    </w:p>
    <w:p/>
    <w:p>
      <w:pPr>
        <w:jc w:val="left"/>
      </w:pPr>
      <w:r>
        <w:rPr>
          <w:b/>
        </w:rPr>
        <w:t>[ORIGINALTEXT — ENGLISCH, ÜBERSETZT VON RA DROSTEN]</w:t>
      </w:r>
    </w:p>
    <w:p>
      <w:pPr>
        <w:jc w:val="left"/>
      </w:pPr>
      <w:r>
        <w:t>```</w:t>
      </w:r>
    </w:p>
    <w:p>
      <w:pPr>
        <w:jc w:val="left"/>
      </w:pPr>
      <w:r>
        <w:t>AKIRA NEXT — YOUR FILES HAVE BEEN ENCRYPTED</w:t>
      </w:r>
    </w:p>
    <w:p>
      <w:pPr>
        <w:jc w:val="left"/>
      </w:pPr>
      <w:r>
        <w:t>Hello, FRISCHETRANS MITTELRHEIN GMBH.</w:t>
      </w:r>
    </w:p>
    <w:p>
      <w:pPr>
        <w:jc w:val="left"/>
      </w:pPr>
      <w:r>
        <w:t>We have encrypted your entire infrastructure and exfiltrated</w:t>
      </w:r>
    </w:p>
    <w:p>
      <w:pPr>
        <w:jc w:val="left"/>
      </w:pPr>
      <w:r>
        <w:t>approximately 2.1 TB of sensitive data including:</w:t>
      </w:r>
    </w:p>
    <w:p>
      <w:pPr>
        <w:pStyle w:val="ListBullet"/>
      </w:pPr>
      <w:r>
        <w:t>Full customer database (18 enterprise clients)</w:t>
      </w:r>
    </w:p>
    <w:p>
      <w:pPr>
        <w:pStyle w:val="ListBullet"/>
      </w:pPr>
      <w:r>
        <w:t>Employee personal records (280 employees)</w:t>
      </w:r>
    </w:p>
    <w:p>
      <w:pPr>
        <w:pStyle w:val="ListBullet"/>
      </w:pPr>
      <w:r>
        <w:t>HR/Health records (BEM files, 38 employees)</w:t>
      </w:r>
    </w:p>
    <w:p>
      <w:pPr>
        <w:pStyle w:val="ListBullet"/>
      </w:pPr>
      <w:r>
        <w:t>Financial records Q1/2026</w:t>
      </w:r>
    </w:p>
    <w:p>
      <w:pPr>
        <w:pStyle w:val="ListBullet"/>
      </w:pPr>
      <w:r>
        <w:t>Logistics contracts and SLA agreements</w:t>
      </w:r>
    </w:p>
    <w:p>
      <w:pPr>
        <w:pStyle w:val="ListBullet"/>
      </w:pPr>
      <w:r>
        <w:t>SAP configuration data</w:t>
      </w:r>
    </w:p>
    <w:p>
      <w:pPr>
        <w:jc w:val="left"/>
      </w:pPr>
      <w:r>
        <w:t>To recover your files and prevent publication of the above data,</w:t>
      </w:r>
    </w:p>
    <w:p>
      <w:pPr>
        <w:jc w:val="left"/>
      </w:pPr>
      <w:r>
        <w:t>you must pay 1,450,000 USD in Monero (XMR) to the wallet address:</w:t>
      </w:r>
    </w:p>
    <w:p>
      <w:pPr>
        <w:jc w:val="left"/>
      </w:pPr>
      <w:r>
        <w:t>[WALLET-ADRESSE — GESCHWÄRZT FÜR BEHÖRDEN / ZAC MAINZ]</w:t>
      </w:r>
    </w:p>
    <w:p>
      <w:pPr>
        <w:jc w:val="left"/>
      </w:pPr>
      <w:r>
        <w:t>You have 7 days from the date of this notice.</w:t>
      </w:r>
    </w:p>
    <w:p>
      <w:pPr>
        <w:jc w:val="left"/>
      </w:pPr>
      <w:r>
        <w:t>If payment is not received, all data will be published on our</w:t>
      </w:r>
    </w:p>
    <w:p>
      <w:pPr>
        <w:jc w:val="left"/>
      </w:pPr>
      <w:r>
        <w:t>leak site:</w:t>
      </w:r>
    </w:p>
    <w:p>
      <w:pPr>
        <w:jc w:val="left"/>
      </w:pPr>
      <w:r>
        <w:t>[ONION-ADRESSE — GESCHWÄRZT / BEI ZAC MAINZ HINTERLEGT]</w:t>
      </w:r>
    </w:p>
    <w:p>
      <w:pPr>
        <w:jc w:val="left"/>
      </w:pPr>
      <w:r>
        <w:t>To prove we have the decryption key, send 3 sample files (max 1 MB each)</w:t>
      </w:r>
    </w:p>
    <w:p>
      <w:pPr>
        <w:jc w:val="left"/>
      </w:pPr>
      <w:r>
        <w:t>to our encrypted contact form on the above site.</w:t>
      </w:r>
    </w:p>
    <w:p>
      <w:pPr>
        <w:jc w:val="left"/>
      </w:pPr>
      <w:r>
        <w:t>DO NOT contact law enforcement.</w:t>
      </w:r>
    </w:p>
    <w:p>
      <w:pPr>
        <w:jc w:val="left"/>
      </w:pPr>
      <w:r>
        <w:t>DO NOT attempt to recover files yourself.</w:t>
      </w:r>
    </w:p>
    <w:p>
      <w:pPr>
        <w:jc w:val="left"/>
      </w:pPr>
      <w:r>
        <w:t>DO NOT power off systems (some have already self-destructed).</w:t>
      </w:r>
    </w:p>
    <w:p>
      <w:pPr>
        <w:jc w:val="left"/>
      </w:pPr>
      <w:r>
        <w:t>Every 24 hours of delay: +$50,000 additional fee.</w:t>
      </w:r>
    </w:p>
    <w:p>
      <w:pPr>
        <w:jc w:val="left"/>
      </w:pPr>
      <w:r>
        <w:t>— AKIRA NEXT TEAM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2. Rechtliche Bewertung des Erpressungsschreibens</w:t>
      </w:r>
    </w:p>
    <w:p>
      <w:pPr>
        <w:pStyle w:val="Heading3"/>
      </w:pPr>
      <w:r>
        <w:rPr>
          <w:rFonts w:ascii="Times New Roman" w:hAnsi="Times New Roman"/>
        </w:rPr>
        <w:t>2.1 Straftatbestand — Deutschland</w:t>
      </w:r>
    </w:p>
    <w:p>
      <w:pPr>
        <w:jc w:val="left"/>
      </w:pPr>
      <w:r>
        <w:t>Das Erpressungsschreiben erfüllt folgende Straftatbestände des deutschen Strafgesetzbuchs (StGB):</w:t>
      </w:r>
    </w:p>
    <w:p>
      <w:pPr>
        <w:jc w:val="left"/>
      </w:pPr>
      <w:r>
        <w:rPr>
          <w:b/>
        </w:rPr>
        <w:t>§ 202a StGB — Ausspähen von Daten</w:t>
      </w:r>
    </w:p>
    <w:p>
      <w:pPr>
        <w:jc w:val="left"/>
      </w:pPr>
      <w:r>
        <w:t>Die unbefugte Erlangung von ca. 2,1 TB unternehmensinterner Daten unter Überwindung von Zugangssicherungen (Firewalls, Authentifizierungssysteme) erfüllt den Tatbestand des § 202a Abs. 1 StGB. Strafrahmen: Freiheitsstrafe bis zu 3 Jahre oder Geldstrafe.</w:t>
      </w:r>
    </w:p>
    <w:p>
      <w:pPr>
        <w:jc w:val="left"/>
      </w:pPr>
      <w:r>
        <w:rPr>
          <w:b/>
        </w:rPr>
        <w:t>§ 303a StGB — Datenveränderung</w:t>
      </w:r>
    </w:p>
    <w:p>
      <w:pPr>
        <w:jc w:val="left"/>
      </w:pPr>
      <w:r>
        <w:t>Die Verschlüsselung der Daten ohne Zustimmung der Inhaberin stellt eine rechtswidrige Löschung, Unterdrückung, Unbrauchbarmachung oder Veränderung von Daten dar. Strafrahmen: Freiheitsstrafe bis zu 2 Jahre oder Geldstrafe. In schweren Fällen (§ 303b StGB, Computersabotage) bis zu 5 Jahre.</w:t>
      </w:r>
    </w:p>
    <w:p>
      <w:pPr>
        <w:jc w:val="left"/>
      </w:pPr>
      <w:r>
        <w:rPr>
          <w:b/>
        </w:rPr>
        <w:t>§ 303b StGB — Computersabotage</w:t>
      </w:r>
    </w:p>
    <w:p>
      <w:pPr>
        <w:jc w:val="left"/>
      </w:pPr>
      <w:r>
        <w:t>Der Angriff auf wesentliche Teile des Unternehmensnetzwerks (ERP, Telematik) mit der Absicht, den Betrieb einer Datenverarbeitungsanlage zu stören, fällt unter § 303b Abs. 1 Nr. 2 StGB. Da es sich um eine Einrichtung von erheblicher Bedeutung für die Versorgung der Bevölkerung (Frischelogistik für Lebensmittelketten) handeln kann, kommt § 303b Abs. 4 StGB in Betracht (Freiheitsstrafe bis 10 Jahre).</w:t>
      </w:r>
    </w:p>
    <w:p>
      <w:pPr>
        <w:jc w:val="left"/>
      </w:pPr>
      <w:r>
        <w:rPr>
          <w:b/>
        </w:rPr>
        <w:t>§ 253 StGB — Erpressung</w:t>
      </w:r>
    </w:p>
    <w:p>
      <w:pPr>
        <w:jc w:val="left"/>
      </w:pPr>
      <w:r>
        <w:t>Die Forderung nach Zahlung von 1.450.000 USD unter Drohung der Veröffentlichung gestohlener Daten erfüllt den Tatbestand der Erpressung nach § 253 Abs. 1 StGB. Strafrahmen: Freiheitsstrafe bis zu 5 Jahre; in schweren Fällen (§ 253 Abs. 4) bis zu 15 Jahre.</w:t>
      </w:r>
    </w:p>
    <w:p>
      <w:pPr>
        <w:jc w:val="left"/>
      </w:pPr>
      <w:r>
        <w:rPr>
          <w:b/>
        </w:rPr>
        <w:t>§ 263a StGB — Computerbetrug</w:t>
      </w:r>
    </w:p>
    <w:p>
      <w:pPr>
        <w:jc w:val="left"/>
      </w:pPr>
      <w:r>
        <w:t>Soweit der Angreifer durch die Manipulation der EDV-Anlage einen Vermögensvorteil erzielen will, liegt tateinheitlich Computerbetrug vor.</w:t>
      </w:r>
    </w:p>
    <w:p>
      <w:pPr>
        <w:pStyle w:val="Heading3"/>
      </w:pPr>
      <w:r>
        <w:rPr>
          <w:rFonts w:ascii="Times New Roman" w:hAnsi="Times New Roman"/>
        </w:rPr>
        <w:t>2.2 Empfehlung: Keine Zahlung</w:t>
      </w:r>
    </w:p>
    <w:p>
      <w:pPr>
        <w:jc w:val="left"/>
      </w:pPr>
      <w:r>
        <w:t xml:space="preserve">Die Kanzlei Drosten &amp; Pekonkur empfiehlt der Mandantin ausdrücklich, das Lösegeld </w:t>
      </w:r>
      <w:r>
        <w:rPr>
          <w:b/>
        </w:rPr>
        <w:t>nicht</w:t>
      </w:r>
      <w:r>
        <w:t xml:space="preserve"> zu zahlen. Folgende Gründe:</w:t>
      </w:r>
    </w:p>
    <w:p>
      <w:pPr>
        <w:pStyle w:val="ListNumber"/>
      </w:pPr>
      <w:r>
        <w:rPr>
          <w:b/>
        </w:rPr>
        <w:t>Keine Erfolgsgarantie:</w:t>
      </w:r>
      <w:r>
        <w:t xml:space="preserve"> Empirische Studien (u. a. Europol-Report 2025) zeigen, dass in bis zu 40 % der Fälle nach Lösegeldzahlung kein funktionierender Entschlüsselungsschlüssel geliefert wird.</w:t>
      </w:r>
    </w:p>
    <w:p>
      <w:pPr>
        <w:pStyle w:val="ListNumber"/>
      </w:pPr>
      <w:r>
        <w:rPr>
          <w:b/>
        </w:rPr>
        <w:t>Strafbarkeitsrisiken:</w:t>
      </w:r>
      <w:r>
        <w:t xml:space="preserve"> Die Überweisung von Kryptowährungen an bekannte Ransomware-Gruppen kann unter §§ 129, 261 StGB (Unterstützung krimineller Vereinigungen, Geldwäsche) problematisch sein.</w:t>
      </w:r>
    </w:p>
    <w:p>
      <w:pPr>
        <w:pStyle w:val="ListNumber"/>
      </w:pPr>
      <w:r>
        <w:rPr>
          <w:b/>
        </w:rPr>
        <w:t>Versicherungsklausel:</w:t>
      </w:r>
      <w:r>
        <w:t xml:space="preserve"> Die Cyber-Police der CyberCovered AG (Pol.-Nr. CC-2024-FTM-8801) enthält eine Klausel, die Erstattungen für Lösegeldzahlungen von vorheriger Genehmigung des Versicherers abhängig macht. Eigenmächtige Zahlung kann zum Verlust des Versicherungsschutzes führen.</w:t>
      </w:r>
    </w:p>
    <w:p>
      <w:pPr>
        <w:pStyle w:val="ListNumber"/>
      </w:pPr>
      <w:r>
        <w:rPr>
          <w:b/>
        </w:rPr>
        <w:t>Erneutes Angriffsziel:</w:t>
      </w:r>
      <w:r>
        <w:t xml:space="preserve"> Zahlende Unternehmen werden als lohnende Ziele identifiziert und häufig erneut angegriffen.</w:t>
      </w:r>
    </w:p>
    <w:p>
      <w:pPr>
        <w:pStyle w:val="ListNumber"/>
      </w:pPr>
      <w:r>
        <w:rPr>
          <w:b/>
        </w:rPr>
        <w:t>Backup verfügbar:</w:t>
      </w:r>
      <w:r>
        <w:t xml:space="preserve"> Da Frischetrans über Backup-Systeme (Stand 03.05.2026) verfügt, ist eine Wiederherstellung ohne Schlüssel möglich.</w:t>
      </w:r>
    </w:p>
    <w:p>
      <w:pPr>
        <w:pStyle w:val="Heading3"/>
      </w:pPr>
      <w:r>
        <w:rPr>
          <w:rFonts w:ascii="Times New Roman" w:hAnsi="Times New Roman"/>
        </w:rPr>
        <w:t>2.3 Reaktion gegenüber den Erpressern</w:t>
      </w:r>
    </w:p>
    <w:p>
      <w:pPr>
        <w:jc w:val="left"/>
      </w:pPr>
      <w:r>
        <w:t>Es wird keinerlei Kontakt zu den Erpressern aufgenommen. Jede Kommunikation obliegt ausschließlich den Ermittlungsbehörden (ZAC Mainz, ggf. BKA Cybercrime). Die Mandantin wird angewiesen, keine E-Mails, Chat-Nachrichten oder sonstigen Kontaktversuche an die genannten Onion-Adressen zu richten.</w:t>
      </w:r>
    </w:p>
    <w:p>
      <w:pPr>
        <w:pStyle w:val="Heading3"/>
      </w:pPr>
      <w:r>
        <w:rPr>
          <w:rFonts w:ascii="Times New Roman" w:hAnsi="Times New Roman"/>
        </w:rPr>
        <w:t>2.4 Beweissicherung</w:t>
      </w:r>
    </w:p>
    <w:p>
      <w:pPr>
        <w:jc w:val="left"/>
      </w:pPr>
      <w:r>
        <w:t>Das Erpressungsschreiben wurde vollständig gesichert durch:</w:t>
      </w:r>
    </w:p>
    <w:p>
      <w:pPr>
        <w:pStyle w:val="ListBullet"/>
      </w:pPr>
      <w:r>
        <w:t>Fotografische Dokumentation aller betroffenen Bildschirme (Fotos in digitaler Forensikakte)</w:t>
      </w:r>
    </w:p>
    <w:p>
      <w:pPr>
        <w:pStyle w:val="ListBullet"/>
      </w:pPr>
      <w:r>
        <w:t xml:space="preserve">Vollständige Sicherung aller </w:t>
      </w:r>
      <w:r>
        <w:t>!!! AKIRA_NEXT_README.txt</w:t>
      </w:r>
      <w:r>
        <w:t>-Dateien (Hash-Werte bei ZAC hinterlegt)</w:t>
      </w:r>
    </w:p>
    <w:p>
      <w:pPr>
        <w:pStyle w:val="ListBullet"/>
      </w:pPr>
      <w:r>
        <w:t>Sicherung des Desktop-Hintergrundbildes (BMP-Datei)</w:t>
      </w:r>
    </w:p>
    <w:p>
      <w:pPr>
        <w:pStyle w:val="ListBullet"/>
      </w:pPr>
      <w:r>
        <w:t>Forensische Festplattenabbilder (dd-Images) der betroffenen Server</w:t>
      </w:r>
    </w:p>
    <w:p/>
    <w:p>
      <w:pPr>
        <w:pStyle w:val="Heading2"/>
      </w:pPr>
      <w:r>
        <w:rPr>
          <w:rFonts w:ascii="Times New Roman" w:hAnsi="Times New Roman"/>
        </w:rPr>
        <w:t>3. Einordnung der Tätergruppe AkiraNext</w:t>
      </w:r>
    </w:p>
    <w:p>
      <w:pPr>
        <w:jc w:val="left"/>
      </w:pPr>
      <w:r>
        <w:t>Die Ransomware-Gruppe „AkiraNext" ist nach vorliegenden Erkenntnissen eine Weiterentwicklung der bekannten Gruppe „Akira", die seit 2023 aktiv ist und vorwiegend Unternehmen der Logistik, Fertigung und des Gesundheitswesens angreift.</w:t>
      </w:r>
    </w:p>
    <w:p>
      <w:pPr>
        <w:jc w:val="left"/>
      </w:pPr>
      <w:r>
        <w:t>Charakteristika:</w:t>
      </w:r>
    </w:p>
    <w:p>
      <w:pPr>
        <w:pStyle w:val="ListBullet"/>
      </w:pPr>
      <w:r>
        <w:t>Doppelte Erpressungsstrategie (Verschlüsselung + Datenveröffentlichung)</w:t>
      </w:r>
    </w:p>
    <w:p>
      <w:pPr>
        <w:pStyle w:val="ListBullet"/>
      </w:pPr>
      <w:r>
        <w:t>Bevorzugte Angriffsvektoren: ungepatchte SAP-Systeme, VPN-Schwachstellen, Microsoft Exchange</w:t>
      </w:r>
    </w:p>
    <w:p>
      <w:pPr>
        <w:pStyle w:val="ListBullet"/>
      </w:pPr>
      <w:r>
        <w:t>Bekannte Infrastruktur: Russland-assoziierte Hosting-Dienste, Tor-Netzwerk</w:t>
      </w:r>
    </w:p>
    <w:p>
      <w:pPr>
        <w:pStyle w:val="ListBullet"/>
      </w:pPr>
      <w:r>
        <w:t>Lösegeldforderungen typischerweise 500.000–5.000.000 USD</w:t>
      </w:r>
    </w:p>
    <w:p>
      <w:pPr>
        <w:jc w:val="left"/>
      </w:pPr>
      <w:r>
        <w:t>Hinweise für Ermittlungsbehörden wurden vollständig an ZAC Mainz und BSI übermittelt.</w:t>
      </w:r>
    </w:p>
    <w:p/>
    <w:p>
      <w:pPr>
        <w:pStyle w:val="Heading2"/>
      </w:pPr>
      <w:r>
        <w:rPr>
          <w:rFonts w:ascii="Times New Roman" w:hAnsi="Times New Roman"/>
        </w:rPr>
        <w:t>4. Redaktionshinweis</w:t>
      </w:r>
    </w:p>
    <w:p>
      <w:pPr>
        <w:jc w:val="left"/>
      </w:pPr>
      <w:r>
        <w:t>Das vollständige, ungeschwärzte Erpressungsschreiben einschließlich Wallet-Adresse und Onion-URL ist als PDF in der Strafakte (ZAC Mainz, 421 UJs 6611/26) sowie verschlüsselt in der Mandantenakte der Kanzlei hinterlegt. Das Aktenstück „pdfs/erpressungsschreiben_akiranext_redacted.pdf" enthält die geschwärzte Version für Mandantensicht und Versicherungszwecke.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Frischetrans Mittelrhein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Frischetrans Mittelrhein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