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Vertragsanalyse ProcessSpark Cloud AG — SLA-Bewertung und Pflichtverletzung</w:t>
      </w:r>
    </w:p>
    <w:p>
      <w:pPr>
        <w:jc w:val="left"/>
      </w:pPr>
      <w:r>
        <w:rPr>
          <w:b/>
        </w:rPr>
        <w:t>Aktenstück:</w:t>
      </w:r>
      <w:r>
        <w:t xml:space="preserve"> 08</w:t>
      </w:r>
    </w:p>
    <w:p>
      <w:pPr>
        <w:jc w:val="left"/>
      </w:pPr>
      <w:r>
        <w:rPr>
          <w:b/>
        </w:rPr>
        <w:t>Datum der Analyse:</w:t>
      </w:r>
      <w:r>
        <w:t xml:space="preserve"> 08.–10.05.2026</w:t>
      </w:r>
    </w:p>
    <w:p>
      <w:pPr>
        <w:jc w:val="left"/>
      </w:pPr>
      <w:r>
        <w:rPr>
          <w:b/>
        </w:rPr>
        <w:t>Mandantin:</w:t>
      </w:r>
      <w:r>
        <w:t xml:space="preserve"> Frischetrans Mittelrhein GmbH</w:t>
      </w:r>
    </w:p>
    <w:p>
      <w:pPr>
        <w:jc w:val="left"/>
      </w:pPr>
      <w:r>
        <w:rPr>
          <w:b/>
        </w:rPr>
        <w:t>Gegner:</w:t>
      </w:r>
      <w:r>
        <w:t xml:space="preserve"> ProcessSpark Cloud AG, Leopoldstraße 88, 80802 München</w:t>
      </w:r>
    </w:p>
    <w:p>
      <w:pPr>
        <w:jc w:val="left"/>
      </w:pPr>
      <w:r>
        <w:rPr>
          <w:b/>
        </w:rPr>
        <w:t>Bearbeiter:</w:t>
      </w:r>
      <w:r>
        <w:t xml:space="preserve"> RA Lukas Drosten, Fachanwalt für IT-Recht</w:t>
      </w:r>
    </w:p>
    <w:p/>
    <w:p>
      <w:pPr>
        <w:pStyle w:val="Heading2"/>
      </w:pPr>
      <w:r>
        <w:rPr>
          <w:rFonts w:ascii="Times New Roman" w:hAnsi="Times New Roman"/>
        </w:rPr>
        <w:t>1. Vertragsgrundlage</w:t>
      </w:r>
    </w:p>
    <w:p>
      <w:pPr>
        <w:jc w:val="left"/>
      </w:pPr>
      <w:r>
        <w:t xml:space="preserve">Zwischen der Frischetrans Mittelrhein GmbH und der ProcessSpark Cloud AG besteht ein </w:t>
      </w:r>
      <w:r>
        <w:rPr>
          <w:b/>
        </w:rPr>
        <w:t>IT-Betriebsvertrag (SaaS- und Managed-Service-Vertrag)</w:t>
      </w:r>
      <w:r>
        <w:t xml:space="preserve"> vom 15.03.2021, zuletzt geändert durch Nachtrag 3 vom 01.07.2024 (nachfolgend: „Vertrag"). Der Vertrag hat eine Laufzeit bis 31.12.2027 mit einer Kündigungsfrist von 6 Monaten zum Jahresende.</w:t>
      </w:r>
    </w:p>
    <w:p>
      <w:pPr>
        <w:pStyle w:val="Heading3"/>
      </w:pPr>
      <w:r>
        <w:rPr>
          <w:rFonts w:ascii="Times New Roman" w:hAnsi="Times New Roman"/>
        </w:rPr>
        <w:t>Vertragsgegenstand (§ 1 Vertrag)</w:t>
      </w:r>
    </w:p>
    <w:p>
      <w:pPr>
        <w:jc w:val="left"/>
      </w:pPr>
      <w:r>
        <w:t>ProcessSpark Cloud AG verpflichtet sich zur:</w:t>
      </w:r>
    </w:p>
    <w:p>
      <w:pPr>
        <w:pStyle w:val="ListNumber"/>
      </w:pPr>
      <w:r>
        <w:t>Bereitstellung, Betrieb und Wartung des ERP-Systems SAP S/4HANA (Lizenz-Management, Hosting auf ProcessSpark-Infrastruktur oder on-premises-Betreuung)</w:t>
      </w:r>
    </w:p>
    <w:p>
      <w:pPr>
        <w:pStyle w:val="ListNumber"/>
      </w:pPr>
      <w:r>
        <w:t>Durchführung von Sicherheitsupdates und Patches gemäß herstellerseitigem Release-Management</w:t>
      </w:r>
    </w:p>
    <w:p>
      <w:pPr>
        <w:pStyle w:val="ListNumber"/>
      </w:pPr>
      <w:r>
        <w:t>Gewährleistung der Systemverfügbarkeit von mind. 99,5 % p.m. (Kernbetriebszeiten: Mo–Fr 06:00–22:00 Uhr)</w:t>
      </w:r>
    </w:p>
    <w:p>
      <w:pPr>
        <w:pStyle w:val="ListNumber"/>
      </w:pPr>
      <w:r>
        <w:t>Incident-Response-Service Level: P1 (Kritisch) — Erstreaktion binnen 30 Minuten, Lösung binnen 4 Stunden</w:t>
      </w:r>
    </w:p>
    <w:p>
      <w:pPr>
        <w:pStyle w:val="Heading3"/>
      </w:pPr>
      <w:r>
        <w:rPr>
          <w:rFonts w:ascii="Times New Roman" w:hAnsi="Times New Roman"/>
        </w:rPr>
        <w:t>SLA-Bestimmungen (§ 8 Vertrag)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Service Level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Definition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Reaktionszeit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Lösungszeit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P1 — 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Systemausfall, Datenverlust-Risiko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Minuten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Stunden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P2 —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Erhebliche Funktionseinschränkung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Stunden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P3 — 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Eingeschränkte 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 Stunden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P4 — 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Geringfügige Störung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 Stunden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Patchmanagement-Klausel (§ 12 Vertrag, Nachtrag 3)</w:t>
      </w:r>
    </w:p>
    <w:p>
      <w:pPr>
        <w:jc w:val="left"/>
      </w:pPr>
      <w:r>
        <w:rPr>
          <w:i/>
        </w:rPr>
        <w:t>Auszug § 12 Abs. 2 Nachtrag 3:</w:t>
      </w:r>
    </w:p>
    <w:p>
      <w:pPr>
        <w:ind w:left="567"/>
      </w:pPr>
      <w:r>
        <w:rPr>
          <w:i/>
        </w:rPr>
        <w:t xml:space="preserve">„ProcessSpark Cloud AG verpflichtet sich, sicherheitsrelevante Patches und Updates für das SAP S/4HANA-System, insbesondere für Schwachstellen mit CVSS-Score 7,0 und höher (High und Critical), innerhalb von </w:t>
      </w:r>
      <w:r>
        <w:rPr>
          <w:b/>
          <w:i/>
        </w:rPr>
        <w:t>30 Tagen</w:t>
      </w:r>
      <w:r>
        <w:rPr>
          <w:i/>
        </w:rPr>
        <w:t xml:space="preserve"> nach offizieller Bereitstellung durch den Hersteller SAP SE einzuspielen. Für Schwachstellen mit CVSS-Score 9,0 und höher (Critical) beträgt die Frist </w:t>
      </w:r>
      <w:r>
        <w:rPr>
          <w:b/>
          <w:i/>
        </w:rPr>
        <w:t>14 Tage</w:t>
      </w:r>
      <w:r>
        <w:rPr>
          <w:i/>
        </w:rPr>
        <w:t>. Ausnahmen bedürfen der vorherigen schriftlichen Zustimmung des Auftraggebers."</w:t>
      </w:r>
    </w:p>
    <w:p>
      <w:pPr>
        <w:pStyle w:val="Heading3"/>
      </w:pPr>
      <w:r>
        <w:rPr>
          <w:rFonts w:ascii="Times New Roman" w:hAnsi="Times New Roman"/>
        </w:rPr>
        <w:t>SLA-Pönale (§ 14 Vertrag)</w:t>
      </w:r>
    </w:p>
    <w:p>
      <w:pPr>
        <w:jc w:val="left"/>
      </w:pPr>
      <w:r>
        <w:rPr>
          <w:i/>
        </w:rPr>
        <w:t>Auszug § 14 Abs. 3:</w:t>
      </w:r>
    </w:p>
    <w:p>
      <w:pPr>
        <w:ind w:left="567"/>
      </w:pPr>
      <w:r>
        <w:rPr>
          <w:i/>
        </w:rPr>
        <w:t xml:space="preserve">„Bei nachgewiesener schuldhafter Verletzung der Patchmanagement-Fristen gemäß § 12 Abs. 2 hat der Auftragnehmer für je angefangene 7 Tage Verzug eine Vertragsstrafe in Höhe von </w:t>
      </w:r>
      <w:r>
        <w:rPr>
          <w:b/>
          <w:i/>
        </w:rPr>
        <w:t>0,5 % der monatlichen Vergütung</w:t>
      </w:r>
      <w:r>
        <w:rPr>
          <w:i/>
        </w:rPr>
        <w:t xml:space="preserve"> zu leisten, maximal jedoch </w:t>
      </w:r>
      <w:r>
        <w:rPr>
          <w:b/>
          <w:i/>
        </w:rPr>
        <w:t>5 % der monatlichen Vergütung</w:t>
      </w:r>
      <w:r>
        <w:rPr>
          <w:i/>
        </w:rPr>
        <w:t xml:space="preserve"> (Höchstbetrag). Dies schließt weitergehende Schadensersatzansprüche nicht aus."</w:t>
      </w:r>
    </w:p>
    <w:p>
      <w:pPr>
        <w:jc w:val="left"/>
      </w:pPr>
      <w:r>
        <w:t>Monatliche Vergütung: 14.800 EUR netto.</w:t>
      </w:r>
    </w:p>
    <w:p/>
    <w:p>
      <w:pPr>
        <w:pStyle w:val="Heading2"/>
      </w:pPr>
      <w:r>
        <w:rPr>
          <w:rFonts w:ascii="Times New Roman" w:hAnsi="Times New Roman"/>
        </w:rPr>
        <w:t>2. Analyse der Pflichtverletzung CVE-2026-0712</w:t>
      </w:r>
    </w:p>
    <w:p>
      <w:pPr>
        <w:pStyle w:val="Heading3"/>
      </w:pPr>
      <w:r>
        <w:rPr>
          <w:rFonts w:ascii="Times New Roman" w:hAnsi="Times New Roman"/>
        </w:rPr>
        <w:t>2.1 Zeitlinie CVE-2026-0712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SAP veröffentlicht Security Note für CVE-2026-0712 (SAP NetWeaver AS ABAP — Remote Code Execution)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CVSS-Score: </w:t>
            </w:r>
            <w:r>
              <w:rPr>
                <w:rFonts w:ascii="Times New Roman" w:hAnsi="Times New Roman"/>
                <w:b/>
                <w:sz w:val="20"/>
              </w:rPr>
              <w:t>9.8 (Critical)</w:t>
            </w:r>
            <w:r>
              <w:rPr>
                <w:rFonts w:ascii="Times New Roman" w:hAnsi="Times New Roman"/>
                <w:sz w:val="20"/>
              </w:rPr>
              <w:t xml:space="preserve"> — kritischste Einstufung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Patch-Frist (14 Tage für Critical): </w:t>
            </w:r>
            <w:r>
              <w:rPr>
                <w:rFonts w:ascii="Times New Roman" w:hAnsi="Times New Roman"/>
                <w:b/>
                <w:sz w:val="20"/>
              </w:rPr>
              <w:t>04.03.2026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Ablauf der 14-Tage-Frist — Patch noch nicht eingespielt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Verlängerte Frist nach internem ProcessSpark-Standard (30 Tage) — auch überschritten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28./29.04.2026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ProcessSpark spielt den Patch tatsächlich ein (Wartungsfenster Nacht 28.04./29.04.2026)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AkiraNext nutzt CVE-2026-0712 für initialen Zugang — Patch 5 Tage zuvor war zu spät</w:t>
            </w:r>
          </w:p>
        </w:tc>
      </w:tr>
    </w:tbl>
    <w:p>
      <w:pPr>
        <w:jc w:val="left"/>
      </w:pPr>
      <w:r>
        <w:rPr>
          <w:b/>
        </w:rPr>
        <w:t>Verzugsdauer:</w:t>
      </w:r>
      <w:r>
        <w:t xml:space="preserve"> 18.02.2026 (Bekanntgabe) bis 28.04.2026 (Einspielung) = </w:t>
      </w:r>
      <w:r>
        <w:rPr>
          <w:b/>
        </w:rPr>
        <w:t>69 Tage</w:t>
      </w:r>
    </w:p>
    <w:p>
      <w:pPr>
        <w:jc w:val="left"/>
      </w:pPr>
      <w:r>
        <w:rPr>
          <w:b/>
        </w:rPr>
        <w:t>Vertraglich geschuldete Frist (Critical, CVSS 9.8):</w:t>
      </w:r>
      <w:r>
        <w:t xml:space="preserve"> 14 Tage</w:t>
      </w:r>
    </w:p>
    <w:p>
      <w:pPr>
        <w:jc w:val="left"/>
      </w:pPr>
      <w:r>
        <w:rPr>
          <w:b/>
        </w:rPr>
        <w:t>Überschreitung:</w:t>
      </w:r>
      <w:r>
        <w:t xml:space="preserve"> 55 Tage</w:t>
      </w:r>
    </w:p>
    <w:p>
      <w:pPr>
        <w:jc w:val="left"/>
      </w:pPr>
      <w:r>
        <w:t>Alternativ gemessen an der 30-Tage-Frist für „High":</w:t>
      </w:r>
    </w:p>
    <w:p>
      <w:pPr>
        <w:jc w:val="left"/>
      </w:pPr>
      <w:r>
        <w:t xml:space="preserve">Fälligkeitsdatum 20.03.2026 — tatsächliche Einspielung 28.04.2026 = </w:t>
      </w:r>
      <w:r>
        <w:rPr>
          <w:b/>
        </w:rPr>
        <w:t>39 Tage Verzug</w:t>
      </w:r>
    </w:p>
    <w:p>
      <w:pPr>
        <w:pStyle w:val="Heading3"/>
      </w:pPr>
      <w:r>
        <w:rPr>
          <w:rFonts w:ascii="Times New Roman" w:hAnsi="Times New Roman"/>
        </w:rPr>
        <w:t>2.2 CVSS-Bewertung CVE-2026-0712</w:t>
      </w:r>
    </w:p>
    <w:p>
      <w:pPr>
        <w:jc w:val="left"/>
      </w:pPr>
      <w:r>
        <w:t>Die Schwachstelle CVE-2026-0712 wurde in der offiziellen SAP Security Note wie folgt beschrieben:</w:t>
      </w:r>
    </w:p>
    <w:p>
      <w:pPr>
        <w:pStyle w:val="ListBullet"/>
      </w:pPr>
      <w:r>
        <w:rPr>
          <w:b/>
        </w:rPr>
        <w:t>Typ:</w:t>
      </w:r>
      <w:r>
        <w:t xml:space="preserve"> Remote Code Execution (RCE) in SAP NetWeaver Application Server ABAP</w:t>
      </w:r>
    </w:p>
    <w:p>
      <w:pPr>
        <w:pStyle w:val="ListBullet"/>
      </w:pPr>
      <w:r>
        <w:rPr>
          <w:b/>
        </w:rPr>
        <w:t>CVSS Base Score:</w:t>
      </w:r>
      <w:r>
        <w:t xml:space="preserve"> 9.8 (Critical)</w:t>
      </w:r>
    </w:p>
    <w:p>
      <w:pPr>
        <w:pStyle w:val="ListBullet"/>
      </w:pPr>
      <w:r>
        <w:rPr>
          <w:b/>
        </w:rPr>
        <w:t>Attack Vector:</w:t>
      </w:r>
      <w:r>
        <w:t xml:space="preserve"> Network</w:t>
      </w:r>
    </w:p>
    <w:p>
      <w:pPr>
        <w:pStyle w:val="ListBullet"/>
      </w:pPr>
      <w:r>
        <w:rPr>
          <w:b/>
        </w:rPr>
        <w:t>Authentication:</w:t>
      </w:r>
      <w:r>
        <w:t xml:space="preserve"> None required</w:t>
      </w:r>
    </w:p>
    <w:p>
      <w:pPr>
        <w:pStyle w:val="ListBullet"/>
      </w:pPr>
      <w:r>
        <w:rPr>
          <w:b/>
        </w:rPr>
        <w:t>User Interaction:</w:t>
      </w:r>
      <w:r>
        <w:t xml:space="preserve"> None required</w:t>
      </w:r>
    </w:p>
    <w:p>
      <w:pPr>
        <w:pStyle w:val="ListBullet"/>
      </w:pPr>
      <w:r>
        <w:rPr>
          <w:b/>
        </w:rPr>
        <w:t>Verfügbarkeit:</w:t>
      </w:r>
      <w:r>
        <w:t xml:space="preserve"> Vollständige Kompromittierung möglich</w:t>
      </w:r>
    </w:p>
    <w:p>
      <w:pPr>
        <w:jc w:val="left"/>
      </w:pPr>
      <w:r>
        <w:t>Diese Einstufung macht CVE-2026-0712 zu einer der kritischsten SAP-Schwachstellen des Jahres 2026. Der BSI und CERT@VDE hatten eigene Warnungen herausgegeben.</w:t>
      </w:r>
    </w:p>
    <w:p>
      <w:pPr>
        <w:pStyle w:val="Heading3"/>
      </w:pPr>
      <w:r>
        <w:rPr>
          <w:rFonts w:ascii="Times New Roman" w:hAnsi="Times New Roman"/>
        </w:rPr>
        <w:t>2.3 Verschulden der ProcessSpark Cloud AG</w:t>
      </w:r>
    </w:p>
    <w:p>
      <w:pPr>
        <w:jc w:val="left"/>
      </w:pPr>
      <w:r>
        <w:t>Der Verzug von ProcessSpark bei der Einspielung des Patches ist schuldhaft:</w:t>
      </w:r>
    </w:p>
    <w:p>
      <w:pPr>
        <w:pStyle w:val="ListNumber"/>
      </w:pPr>
      <w:r>
        <w:rPr>
          <w:b/>
        </w:rPr>
        <w:t>Kenntnis:</w:t>
      </w:r>
      <w:r>
        <w:t xml:space="preserve"> Die Schwachstelle und der verfügbare Patch waren seit 18.02.2026 öffentlich bekannt.</w:t>
      </w:r>
    </w:p>
    <w:p>
      <w:pPr>
        <w:pStyle w:val="ListNumber"/>
      </w:pPr>
      <w:r>
        <w:rPr>
          <w:b/>
        </w:rPr>
        <w:t>Vertragliche Pflicht:</w:t>
      </w:r>
      <w:r>
        <w:t xml:space="preserve"> § 12 Abs. 2 Nachtrag 3 des Vertrages sieht für Critical-Patches eine 14-Tages-Frist vor.</w:t>
      </w:r>
    </w:p>
    <w:p>
      <w:pPr>
        <w:pStyle w:val="ListNumber"/>
      </w:pPr>
      <w:r>
        <w:rPr>
          <w:b/>
        </w:rPr>
        <w:t>Keine Ausnahme beantragt:</w:t>
      </w:r>
      <w:r>
        <w:t xml:space="preserve"> ProcessSpark hat keine schriftliche Ausnahme-Genehmigung bei der Frischetrans eingeholt.</w:t>
      </w:r>
    </w:p>
    <w:p>
      <w:pPr>
        <w:pStyle w:val="ListNumber"/>
      </w:pPr>
      <w:r>
        <w:rPr>
          <w:b/>
        </w:rPr>
        <w:t>Kein Hinweis an Mandantin:</w:t>
      </w:r>
      <w:r>
        <w:t xml:space="preserve"> ProcessSpark hat die Frischetrans nicht über den bekannten Patch-Rückstand informiert, was einer eigenständigen Pflichtverletzung entspricht (Informationspflicht aus § 241 Abs. 2 BGB).</w:t>
      </w:r>
    </w:p>
    <w:p/>
    <w:p>
      <w:pPr>
        <w:pStyle w:val="Heading2"/>
      </w:pPr>
      <w:r>
        <w:rPr>
          <w:rFonts w:ascii="Times New Roman" w:hAnsi="Times New Roman"/>
        </w:rPr>
        <w:t>3. Ansprüche der Mandantin</w:t>
      </w:r>
    </w:p>
    <w:p>
      <w:pPr>
        <w:pStyle w:val="Heading3"/>
      </w:pPr>
      <w:r>
        <w:rPr>
          <w:rFonts w:ascii="Times New Roman" w:hAnsi="Times New Roman"/>
        </w:rPr>
        <w:t>3.1 Vertragsstrafe (§ 14 Abs. 3 Vertrag)</w:t>
      </w:r>
    </w:p>
    <w:p>
      <w:pPr>
        <w:jc w:val="left"/>
      </w:pPr>
      <w:r>
        <w:t xml:space="preserve">Verzug: 55 Tage (über die 14-Tage-Frist hinaus) → 7 angefangene Sieben-Tages-Perioden × 0,5 % = </w:t>
      </w:r>
      <w:r>
        <w:rPr>
          <w:b/>
        </w:rPr>
        <w:t>3,5 % der Monatsvergütung</w:t>
      </w:r>
    </w:p>
    <w:p>
      <w:pPr>
        <w:jc w:val="left"/>
      </w:pPr>
      <w:r>
        <w:t xml:space="preserve">Vertragsstrafe: 14.800 EUR × 3,5 % = </w:t>
      </w:r>
      <w:r>
        <w:rPr>
          <w:b/>
        </w:rPr>
        <w:t>518 EUR</w:t>
      </w:r>
    </w:p>
    <w:p>
      <w:pPr>
        <w:jc w:val="left"/>
      </w:pPr>
      <w:r>
        <w:t>Hinweis: Die vertragliche Pönale ist angesichts des entstandenen Schadens von erheblich geringerem Wert als der Schadensersatzanspruch. Die Pönale ist neben dem Schadensersatz geltend zu machen (§ 340 Abs. 2 BGB).</w:t>
      </w:r>
    </w:p>
    <w:p>
      <w:pPr>
        <w:pStyle w:val="Heading3"/>
      </w:pPr>
      <w:r>
        <w:rPr>
          <w:rFonts w:ascii="Times New Roman" w:hAnsi="Times New Roman"/>
        </w:rPr>
        <w:t>3.2 Schadensersatz (§§ 280, 281, 631, 634 BGB i.V.m. Vertrag)</w:t>
      </w:r>
    </w:p>
    <w:p>
      <w:pPr>
        <w:jc w:val="left"/>
      </w:pPr>
      <w:r>
        <w:t>ProcessSpark hat eine vertraglich geschuldete Leistung (rechtzeitiger Sicherheitspatch) schuldhaft nicht rechtzeitig erbracht. Die Kausalität zwischen verspätetem Patch und Ransomware-Angriff ist nach derzeitigem forensischen Befund gegeben (CVE-2026-0712 war der initiale Angriffsvektor).</w:t>
      </w:r>
    </w:p>
    <w:p>
      <w:pPr>
        <w:jc w:val="left"/>
      </w:pPr>
      <w:r>
        <w:rPr>
          <w:b/>
        </w:rPr>
        <w:t>Haftungsumfang:</w:t>
      </w:r>
    </w:p>
    <w:p>
      <w:pPr>
        <w:jc w:val="left"/>
      </w:pPr>
      <w:r>
        <w:t>Nach §§ 280, 281 BGB schuldet ProcessSpark vollen Schadensersatz für den durch die Pflichtverletzung verursachten Schaden. Die Haftungsbeschränkungsklausel im Vertrag (§ 16 Abs. 2: Haftung begrenzt auf einfache Fahrlässigkeit auf 12 Monatsvergütungen = 177.600 EUR) ist im Hinblick auf § 309 Nr. 7 BGB und die Schwere der Pflichtverletzung einer AGB-rechtlichen Prüfung zu unterziehen.</w:t>
      </w:r>
    </w:p>
    <w:p>
      <w:pPr>
        <w:jc w:val="left"/>
      </w:pPr>
      <w:r>
        <w:rPr>
          <w:b/>
        </w:rPr>
        <w:t>Voraussichtliche Schadensposition ProcessSpark: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Schadensposition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IT-Wiederherstellungskosten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180.000–220.000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Betriebsausfallschaden Logistik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320.000–450.000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Forensikkosten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45.000–65.000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80.000–120.000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625.000–855.000 EUR</w:t>
            </w:r>
          </w:p>
        </w:tc>
      </w:tr>
    </w:tbl>
    <w:p>
      <w:pPr>
        <w:jc w:val="left"/>
      </w:pPr>
      <w:r>
        <w:t>Eine DSGVO-Bußgeld-Erstattung durch ProcessSpark ist theoretisch möglich, aber rechtlich komplex (DSGVO-Verstöße sind primär dem Verantwortlichen zuzurechnen, Regress gegen Auftragsverarbeiter/IT-Dienstleister möglich).</w:t>
      </w:r>
    </w:p>
    <w:p>
      <w:pPr>
        <w:pStyle w:val="Heading3"/>
      </w:pPr>
      <w:r>
        <w:rPr>
          <w:rFonts w:ascii="Times New Roman" w:hAnsi="Times New Roman"/>
        </w:rPr>
        <w:t>3.3 Kündigung aus wichtigem Grund</w:t>
      </w:r>
    </w:p>
    <w:p>
      <w:pPr>
        <w:jc w:val="left"/>
      </w:pPr>
      <w:r>
        <w:t>Die schwerwiegende Pflichtverletzung (Patch-Rückstand an einer CVSS-9.8-Schwachstelle mit verheerenden Folgen) berechtigt die Frischetrans zur außerordentlichen Kündigung des Vertrages aus wichtigem Grund nach § 626 BGB (Dienstvertrag) bzw. §§ 643, 649 BGB (Werkvertrag). Eine Abmahnung ist bei der Schwere der Pflichtverletzung entbehrlich.</w:t>
      </w:r>
    </w:p>
    <w:p>
      <w:pPr>
        <w:jc w:val="left"/>
      </w:pPr>
      <w:r>
        <w:t>Die Kündigung ist in der Klageandrohung (Aktenstück 10) angekündigt, aber noch nicht ausgesprochen, um Verhandlungsmasse zu erhalten.</w:t>
      </w:r>
    </w:p>
    <w:p/>
    <w:p>
      <w:pPr>
        <w:pStyle w:val="Heading2"/>
      </w:pPr>
      <w:r>
        <w:rPr>
          <w:rFonts w:ascii="Times New Roman" w:hAnsi="Times New Roman"/>
        </w:rPr>
        <w:t>4. Prozessrechtliche Überlegungen</w:t>
      </w:r>
    </w:p>
    <w:p>
      <w:pPr>
        <w:jc w:val="left"/>
      </w:pPr>
      <w:r>
        <w:rPr>
          <w:b/>
        </w:rPr>
        <w:t>Gerichtsstand:</w:t>
      </w:r>
      <w:r>
        <w:t xml:space="preserve"> LG Mainz gemäß Gerichtsstandsklausel (§ 18 Vertrag; Gerichtsstand Mainz für Streitigkeiten zwischen den Parteien). Geplantes Aktenzeichen: 3 O 88/26.</w:t>
      </w:r>
    </w:p>
    <w:p>
      <w:pPr>
        <w:jc w:val="left"/>
      </w:pPr>
      <w:r>
        <w:rPr>
          <w:b/>
        </w:rPr>
        <w:t>Streitwert:</w:t>
      </w:r>
      <w:r>
        <w:t xml:space="preserve"> ca. 625.000–855.000 EUR (je nach Schadensnachweis) + Vertragsstrafenforderung + ggf. DSGVO-Regress → Streitwert aller Voraussicht nach </w:t>
      </w:r>
      <w:r>
        <w:rPr>
          <w:b/>
        </w:rPr>
        <w:t>&gt; 500.000 EUR</w:t>
      </w:r>
      <w:r>
        <w:t>.</w:t>
      </w:r>
    </w:p>
    <w:p>
      <w:pPr>
        <w:jc w:val="left"/>
      </w:pPr>
      <w:r>
        <w:rPr>
          <w:b/>
        </w:rPr>
        <w:t>Zuständigkeit:</w:t>
      </w:r>
      <w:r>
        <w:t xml:space="preserve"> LG Mainz ist sachlich zuständig (§ 71 GVG, Streitwert &gt; 5.000 EUR).</w:t>
      </w:r>
    </w:p>
    <w:p>
      <w:pPr>
        <w:jc w:val="left"/>
      </w:pPr>
      <w:r>
        <w:rPr>
          <w:b/>
        </w:rPr>
        <w:t>Beweissicherung:</w:t>
      </w:r>
      <w:r>
        <w:t xml:space="preserve"> Forensischer Abschlussbericht (CyberForensik RheinMain GmbH), SAP-Security-Note CVE-2026-0712, Patch-Log ProcessSpark (per Auskunftsanspruch einzufordern), Vertrag inkl. Nachtrag 3.</w:t>
      </w:r>
    </w:p>
    <w:p>
      <w:pPr>
        <w:jc w:val="left"/>
      </w:pPr>
      <w:r>
        <w:rPr>
          <w:b/>
        </w:rPr>
        <w:t>Verjährung:</w:t>
      </w:r>
      <w:r>
        <w:t xml:space="preserve"> §§ 195, 199 BGB — Verjährungsfrist 3 Jahre ab Jahresende 2026, Ablauf 31.12.2029.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Vertragsanalyse ProcessSpark Cloud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Vertragsanalyse ProcessSpark Cloud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