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Datenschutz-Folgenabschätzung (DSFA) — BEM-Gesundheitsdaten</w:t>
      </w:r>
    </w:p>
    <w:p>
      <w:pPr>
        <w:jc w:val="left"/>
      </w:pPr>
      <w:r>
        <w:rPr>
          <w:b/>
        </w:rPr>
        <w:t>Aktenstück:</w:t>
      </w:r>
      <w:r>
        <w:t xml:space="preserve"> 11</w:t>
      </w:r>
    </w:p>
    <w:p>
      <w:pPr>
        <w:jc w:val="left"/>
      </w:pPr>
      <w:r>
        <w:rPr>
          <w:b/>
        </w:rPr>
        <w:t>Datum:</w:t>
      </w:r>
      <w:r>
        <w:t xml:space="preserve"> 14.05.2026</w:t>
      </w:r>
    </w:p>
    <w:p>
      <w:pPr>
        <w:jc w:val="left"/>
      </w:pPr>
      <w:r>
        <w:rPr>
          <w:b/>
        </w:rPr>
        <w:t>Erstellt durch:</w:t>
      </w:r>
      <w:r>
        <w:t xml:space="preserve"> RA Lukas Drosten (Kanzlei Drosten &amp; Pekonkur) gemeinsam mit Markus Feilke (Datenschutzbeauftragter, Datenschutzkanzlei Rhein-Main)</w:t>
      </w:r>
    </w:p>
    <w:p>
      <w:pPr>
        <w:jc w:val="left"/>
      </w:pPr>
      <w:r>
        <w:rPr>
          <w:b/>
        </w:rPr>
        <w:t>Mandantin:</w:t>
      </w:r>
      <w:r>
        <w:t xml:space="preserve"> Frischetrans Mittelrhein GmbH</w:t>
      </w:r>
    </w:p>
    <w:p>
      <w:pPr>
        <w:jc w:val="left"/>
      </w:pPr>
      <w:r>
        <w:rPr>
          <w:b/>
        </w:rPr>
        <w:t>Rechtsgrundlage:</w:t>
      </w:r>
      <w:r>
        <w:t xml:space="preserve"> Art. 35 DSGVO, § 67 SGB IX (BEM-Verfahren)</w:t>
      </w:r>
    </w:p>
    <w:p/>
    <w:p>
      <w:pPr>
        <w:pStyle w:val="Heading2"/>
      </w:pPr>
      <w:r>
        <w:rPr>
          <w:rFonts w:ascii="Times New Roman" w:hAnsi="Times New Roman"/>
        </w:rPr>
        <w:t>1. Anlass der DSFA</w:t>
      </w:r>
    </w:p>
    <w:p>
      <w:pPr>
        <w:jc w:val="left"/>
      </w:pPr>
      <w:r>
        <w:t>Der Ransomware-Angriff vom 06.05.2026 hat die Frischetrans Mittelrhein GmbH veranlasst, die bestehende Datenverarbeitungstätigkeit für das Betriebliche Eingliederungsmanagement (BEM) einer Datenschutz-Folgenabschätzung zu unterziehen. Diese DSFA wurde durch folgenden Umstand zwingend ausgelöst:</w:t>
      </w:r>
    </w:p>
    <w:p>
      <w:pPr>
        <w:pStyle w:val="ListNumber"/>
      </w:pPr>
      <w:r>
        <w:rPr>
          <w:b/>
        </w:rPr>
        <w:t>Erhöhtes Risiko durch Datenpanne:</w:t>
      </w:r>
      <w:r>
        <w:t xml:space="preserve"> Die exfiltrierten Daten umfassen Gesundheitsdaten im Sinne des Art. 9 Abs. 1 DSGVO (besondere Kategorie personenbezogener Daten) von 38 Beschäftigten aus BEM-Verfahren. Diese Kategorie von Daten verlangt nach Art. 35 Abs. 3 lit. b) DSGVO grundsätzlich eine vorherige DSFA.</w:t>
      </w:r>
    </w:p>
    <w:p>
      <w:pPr>
        <w:pStyle w:val="ListNumber"/>
      </w:pPr>
      <w:r>
        <w:rPr>
          <w:b/>
        </w:rPr>
        <w:t>Rückfrage der LfDI RLP:</w:t>
      </w:r>
      <w:r>
        <w:t xml:space="preserve"> Die Datenschutzbehörde hat in ihrem Schreiben vom 09.05.2026 (Ref. LfDI-RLP-2026-0508-4419) um Vorlage einer DSFA für diese Verarbeitungstätigkeit gebeten.</w:t>
      </w:r>
    </w:p>
    <w:p/>
    <w:p>
      <w:pPr>
        <w:pStyle w:val="Heading2"/>
      </w:pPr>
      <w:r>
        <w:rPr>
          <w:rFonts w:ascii="Times New Roman" w:hAnsi="Times New Roman"/>
        </w:rPr>
        <w:t>2. Beschreibung der Verarbeitungstätigkeit</w:t>
      </w:r>
    </w:p>
    <w:p>
      <w:pPr>
        <w:pStyle w:val="Heading3"/>
      </w:pPr>
      <w:r>
        <w:rPr>
          <w:rFonts w:ascii="Times New Roman" w:hAnsi="Times New Roman"/>
        </w:rPr>
        <w:t>2.1 Zweck der Verarbeitung</w:t>
      </w:r>
    </w:p>
    <w:p>
      <w:pPr>
        <w:jc w:val="left"/>
      </w:pPr>
      <w:r>
        <w:t>Frischetrans führt gemäß § 167 SGB IX (früher § 84 SGB IX a.F.) das BEM-Verfahren für Beschäftigte durch, die innerhalb eines Jahres länger als sechs Wochen ununterbrochen oder wiederholt arbeitsunfähig waren. Zweck ist die Wiedereingliederung und Prävention weiterer Ausfallzeiten.</w:t>
      </w:r>
    </w:p>
    <w:p>
      <w:pPr>
        <w:pStyle w:val="Heading3"/>
      </w:pPr>
      <w:r>
        <w:rPr>
          <w:rFonts w:ascii="Times New Roman" w:hAnsi="Times New Roman"/>
        </w:rPr>
        <w:t>2.2 Art der verarbeiteten Daten</w:t>
      </w:r>
    </w:p>
    <w:tbl>
      <w:tblPr>
        <w:tblStyle w:val="TableGrid"/>
        <w:tblW w:type="auto" w:w="0"/>
        <w:tblLook w:firstColumn="1" w:firstRow="1" w:lastColumn="0" w:lastRow="0" w:noHBand="0" w:noVBand="1" w:val="04A0"/>
      </w:tblPr>
      <w:tblGrid>
        <w:gridCol w:w="3024"/>
        <w:gridCol w:w="3024"/>
        <w:gridCol w:w="3024"/>
      </w:tblGrid>
      <w:tr>
        <w:tc>
          <w:tcPr>
            <w:tcW w:type="dxa" w:w="3024"/>
          </w:tcPr>
          <w:p>
            <w:r>
              <w:rPr>
                <w:rFonts w:ascii="Times New Roman" w:hAnsi="Times New Roman"/>
                <w:b/>
                <w:sz w:val="20"/>
              </w:rPr>
              <w:t>Datenkategorie</w:t>
            </w:r>
          </w:p>
        </w:tc>
        <w:tc>
          <w:tcPr>
            <w:tcW w:type="dxa" w:w="3024"/>
          </w:tcPr>
          <w:p>
            <w:r>
              <w:rPr>
                <w:rFonts w:ascii="Times New Roman" w:hAnsi="Times New Roman"/>
                <w:b/>
                <w:sz w:val="20"/>
              </w:rPr>
              <w:t>Einstufung</w:t>
            </w:r>
          </w:p>
        </w:tc>
        <w:tc>
          <w:tcPr>
            <w:tcW w:type="dxa" w:w="3024"/>
          </w:tcPr>
          <w:p>
            <w:r>
              <w:rPr>
                <w:rFonts w:ascii="Times New Roman" w:hAnsi="Times New Roman"/>
                <w:b/>
                <w:sz w:val="20"/>
              </w:rPr>
              <w:t>Anzahl Betroffene</w:t>
            </w:r>
          </w:p>
        </w:tc>
      </w:tr>
      <w:tr>
        <w:tc>
          <w:tcPr>
            <w:tcW w:type="dxa" w:w="3024"/>
          </w:tcPr>
          <w:p>
            <w:r>
              <w:rPr>
                <w:rFonts w:ascii="Times New Roman" w:hAnsi="Times New Roman"/>
                <w:sz w:val="20"/>
              </w:rPr>
              <w:t>Diagnosen (Erkrankungen)</w:t>
            </w:r>
          </w:p>
        </w:tc>
        <w:tc>
          <w:tcPr>
            <w:tcW w:type="dxa" w:w="3024"/>
          </w:tcPr>
          <w:p>
            <w:r>
              <w:rPr>
                <w:rFonts w:ascii="Times New Roman" w:hAnsi="Times New Roman"/>
                <w:sz w:val="20"/>
              </w:rPr>
              <w:t>Art. 9 DSGVO (besondere Kategorie)</w:t>
            </w:r>
          </w:p>
        </w:tc>
        <w:tc>
          <w:tcPr>
            <w:tcW w:type="dxa" w:w="3024"/>
          </w:tcPr>
          <w:p>
            <w:r>
              <w:rPr>
                <w:rFonts w:ascii="Times New Roman" w:hAnsi="Times New Roman"/>
                <w:sz w:val="20"/>
              </w:rPr>
              <w:t>38</w:t>
            </w:r>
          </w:p>
        </w:tc>
      </w:tr>
      <w:tr>
        <w:tc>
          <w:tcPr>
            <w:tcW w:type="dxa" w:w="3024"/>
          </w:tcPr>
          <w:p>
            <w:r>
              <w:rPr>
                <w:rFonts w:ascii="Times New Roman" w:hAnsi="Times New Roman"/>
                <w:sz w:val="20"/>
              </w:rPr>
              <w:t>Therapieverläufe, Behandlungsberichte</w:t>
            </w:r>
          </w:p>
        </w:tc>
        <w:tc>
          <w:tcPr>
            <w:tcW w:type="dxa" w:w="3024"/>
          </w:tcPr>
          <w:p>
            <w:r>
              <w:rPr>
                <w:rFonts w:ascii="Times New Roman" w:hAnsi="Times New Roman"/>
                <w:sz w:val="20"/>
              </w:rPr>
              <w:t>Art. 9 DSGVO</w:t>
            </w:r>
          </w:p>
        </w:tc>
        <w:tc>
          <w:tcPr>
            <w:tcW w:type="dxa" w:w="3024"/>
          </w:tcPr>
          <w:p>
            <w:r>
              <w:rPr>
                <w:rFonts w:ascii="Times New Roman" w:hAnsi="Times New Roman"/>
                <w:sz w:val="20"/>
              </w:rPr>
              <w:t>38</w:t>
            </w:r>
          </w:p>
        </w:tc>
      </w:tr>
      <w:tr>
        <w:tc>
          <w:tcPr>
            <w:tcW w:type="dxa" w:w="3024"/>
          </w:tcPr>
          <w:p>
            <w:r>
              <w:rPr>
                <w:rFonts w:ascii="Times New Roman" w:hAnsi="Times New Roman"/>
                <w:sz w:val="20"/>
              </w:rPr>
              <w:t>Ärztliche Atteste und Gutachten</w:t>
            </w:r>
          </w:p>
        </w:tc>
        <w:tc>
          <w:tcPr>
            <w:tcW w:type="dxa" w:w="3024"/>
          </w:tcPr>
          <w:p>
            <w:r>
              <w:rPr>
                <w:rFonts w:ascii="Times New Roman" w:hAnsi="Times New Roman"/>
                <w:sz w:val="20"/>
              </w:rPr>
              <w:t>Art. 9 DSGVO</w:t>
            </w:r>
          </w:p>
        </w:tc>
        <w:tc>
          <w:tcPr>
            <w:tcW w:type="dxa" w:w="3024"/>
          </w:tcPr>
          <w:p>
            <w:r>
              <w:rPr>
                <w:rFonts w:ascii="Times New Roman" w:hAnsi="Times New Roman"/>
                <w:sz w:val="20"/>
              </w:rPr>
              <w:t>38</w:t>
            </w:r>
          </w:p>
        </w:tc>
      </w:tr>
      <w:tr>
        <w:tc>
          <w:tcPr>
            <w:tcW w:type="dxa" w:w="3024"/>
          </w:tcPr>
          <w:p>
            <w:r>
              <w:rPr>
                <w:rFonts w:ascii="Times New Roman" w:hAnsi="Times New Roman"/>
                <w:sz w:val="20"/>
              </w:rPr>
              <w:t>Betriebsärztliche Bewertungen</w:t>
            </w:r>
          </w:p>
        </w:tc>
        <w:tc>
          <w:tcPr>
            <w:tcW w:type="dxa" w:w="3024"/>
          </w:tcPr>
          <w:p>
            <w:r>
              <w:rPr>
                <w:rFonts w:ascii="Times New Roman" w:hAnsi="Times New Roman"/>
                <w:sz w:val="20"/>
              </w:rPr>
              <w:t>Art. 9 DSGVO</w:t>
            </w:r>
          </w:p>
        </w:tc>
        <w:tc>
          <w:tcPr>
            <w:tcW w:type="dxa" w:w="3024"/>
          </w:tcPr>
          <w:p>
            <w:r>
              <w:rPr>
                <w:rFonts w:ascii="Times New Roman" w:hAnsi="Times New Roman"/>
                <w:sz w:val="20"/>
              </w:rPr>
              <w:t>38</w:t>
            </w:r>
          </w:p>
        </w:tc>
      </w:tr>
      <w:tr>
        <w:tc>
          <w:tcPr>
            <w:tcW w:type="dxa" w:w="3024"/>
          </w:tcPr>
          <w:p>
            <w:r>
              <w:rPr>
                <w:rFonts w:ascii="Times New Roman" w:hAnsi="Times New Roman"/>
                <w:sz w:val="20"/>
              </w:rPr>
              <w:t>Rehabilitationsmaßnahmen</w:t>
            </w:r>
          </w:p>
        </w:tc>
        <w:tc>
          <w:tcPr>
            <w:tcW w:type="dxa" w:w="3024"/>
          </w:tcPr>
          <w:p>
            <w:r>
              <w:rPr>
                <w:rFonts w:ascii="Times New Roman" w:hAnsi="Times New Roman"/>
                <w:sz w:val="20"/>
              </w:rPr>
              <w:t>Art. 9 DSGVO</w:t>
            </w:r>
          </w:p>
        </w:tc>
        <w:tc>
          <w:tcPr>
            <w:tcW w:type="dxa" w:w="3024"/>
          </w:tcPr>
          <w:p>
            <w:r>
              <w:rPr>
                <w:rFonts w:ascii="Times New Roman" w:hAnsi="Times New Roman"/>
                <w:sz w:val="20"/>
              </w:rPr>
              <w:t>22</w:t>
            </w:r>
          </w:p>
        </w:tc>
      </w:tr>
      <w:tr>
        <w:tc>
          <w:tcPr>
            <w:tcW w:type="dxa" w:w="3024"/>
          </w:tcPr>
          <w:p>
            <w:r>
              <w:rPr>
                <w:rFonts w:ascii="Times New Roman" w:hAnsi="Times New Roman"/>
                <w:sz w:val="20"/>
              </w:rPr>
              <w:t>Krankenhausaufenthalte</w:t>
            </w:r>
          </w:p>
        </w:tc>
        <w:tc>
          <w:tcPr>
            <w:tcW w:type="dxa" w:w="3024"/>
          </w:tcPr>
          <w:p>
            <w:r>
              <w:rPr>
                <w:rFonts w:ascii="Times New Roman" w:hAnsi="Times New Roman"/>
                <w:sz w:val="20"/>
              </w:rPr>
              <w:t>Art. 9 DSGVO</w:t>
            </w:r>
          </w:p>
        </w:tc>
        <w:tc>
          <w:tcPr>
            <w:tcW w:type="dxa" w:w="3024"/>
          </w:tcPr>
          <w:p>
            <w:r>
              <w:rPr>
                <w:rFonts w:ascii="Times New Roman" w:hAnsi="Times New Roman"/>
                <w:sz w:val="20"/>
              </w:rPr>
              <w:t>15</w:t>
            </w:r>
          </w:p>
        </w:tc>
      </w:tr>
      <w:tr>
        <w:tc>
          <w:tcPr>
            <w:tcW w:type="dxa" w:w="3024"/>
          </w:tcPr>
          <w:p>
            <w:r>
              <w:rPr>
                <w:rFonts w:ascii="Times New Roman" w:hAnsi="Times New Roman"/>
                <w:sz w:val="20"/>
              </w:rPr>
              <w:t>Rentenversicherungskorrespondenz</w:t>
            </w:r>
          </w:p>
        </w:tc>
        <w:tc>
          <w:tcPr>
            <w:tcW w:type="dxa" w:w="3024"/>
          </w:tcPr>
          <w:p>
            <w:r>
              <w:rPr>
                <w:rFonts w:ascii="Times New Roman" w:hAnsi="Times New Roman"/>
                <w:sz w:val="20"/>
              </w:rPr>
              <w:t>Sozialdaten</w:t>
            </w:r>
          </w:p>
        </w:tc>
        <w:tc>
          <w:tcPr>
            <w:tcW w:type="dxa" w:w="3024"/>
          </w:tcPr>
          <w:p>
            <w:r>
              <w:rPr>
                <w:rFonts w:ascii="Times New Roman" w:hAnsi="Times New Roman"/>
                <w:sz w:val="20"/>
              </w:rPr>
              <w:t>8</w:t>
            </w:r>
          </w:p>
        </w:tc>
      </w:tr>
      <w:tr>
        <w:tc>
          <w:tcPr>
            <w:tcW w:type="dxa" w:w="3024"/>
          </w:tcPr>
          <w:p>
            <w:r>
              <w:rPr>
                <w:rFonts w:ascii="Times New Roman" w:hAnsi="Times New Roman"/>
                <w:sz w:val="20"/>
              </w:rPr>
              <w:t>Personenstammdaten (Name, Adresse, SV-Nr.)</w:t>
            </w:r>
          </w:p>
        </w:tc>
        <w:tc>
          <w:tcPr>
            <w:tcW w:type="dxa" w:w="3024"/>
          </w:tcPr>
          <w:p>
            <w:r>
              <w:rPr>
                <w:rFonts w:ascii="Times New Roman" w:hAnsi="Times New Roman"/>
                <w:sz w:val="20"/>
              </w:rPr>
              <w:t>Art. 6 DSGVO</w:t>
            </w:r>
          </w:p>
        </w:tc>
        <w:tc>
          <w:tcPr>
            <w:tcW w:type="dxa" w:w="3024"/>
          </w:tcPr>
          <w:p>
            <w:r>
              <w:rPr>
                <w:rFonts w:ascii="Times New Roman" w:hAnsi="Times New Roman"/>
                <w:sz w:val="20"/>
              </w:rPr>
              <w:t>38</w:t>
            </w:r>
          </w:p>
        </w:tc>
      </w:tr>
    </w:tbl>
    <w:p>
      <w:pPr>
        <w:pStyle w:val="Heading3"/>
      </w:pPr>
      <w:r>
        <w:rPr>
          <w:rFonts w:ascii="Times New Roman" w:hAnsi="Times New Roman"/>
        </w:rPr>
        <w:t>2.3 Rechtsgrundlage der Verarbeitung</w:t>
      </w:r>
    </w:p>
    <w:p>
      <w:pPr>
        <w:pStyle w:val="ListBullet"/>
      </w:pPr>
      <w:r>
        <w:t>Art. 9 Abs. 2 lit. b) DSGVO (Verarbeitung im Rahmen arbeitsrechtlicher Pflichten)</w:t>
      </w:r>
    </w:p>
    <w:p>
      <w:pPr>
        <w:pStyle w:val="ListBullet"/>
      </w:pPr>
      <w:r>
        <w:t>§ 26 Abs. 3 BDSG (Verarbeitung besonderer Kategorien im Beschäftigtenverhältnis)</w:t>
      </w:r>
    </w:p>
    <w:p>
      <w:pPr>
        <w:pStyle w:val="ListBullet"/>
      </w:pPr>
      <w:r>
        <w:t>§ 167 Abs. 2 SGB IX (gesetzliche Grundlage BEM-Verfahren)</w:t>
      </w:r>
    </w:p>
    <w:p>
      <w:pPr>
        <w:pStyle w:val="Heading3"/>
      </w:pPr>
      <w:r>
        <w:rPr>
          <w:rFonts w:ascii="Times New Roman" w:hAnsi="Times New Roman"/>
        </w:rPr>
        <w:t>2.4 Speicherung und Zugriff</w:t>
      </w:r>
    </w:p>
    <w:p>
      <w:pPr>
        <w:jc w:val="left"/>
      </w:pPr>
      <w:r>
        <w:t>BEM-Daten wurden in SAP HR (Modul: Personalwesen — Krankheit/BEM) sowie als digitale Scans in einem Dokumentenmanagementsystem (DMS) gespeichert. Zugriff hatten vor der Panne:</w:t>
      </w:r>
    </w:p>
    <w:p>
      <w:pPr>
        <w:pStyle w:val="ListBullet"/>
      </w:pPr>
      <w:r>
        <w:t>HR-Abteilung (3 Personen)</w:t>
      </w:r>
    </w:p>
    <w:p>
      <w:pPr>
        <w:pStyle w:val="ListBullet"/>
      </w:pPr>
      <w:r>
        <w:t>Betriebsärztlicher Dienst (extern, via VPN)</w:t>
      </w:r>
    </w:p>
    <w:p>
      <w:pPr>
        <w:pStyle w:val="ListBullet"/>
      </w:pPr>
      <w:r>
        <w:t>Betriebsrat (eingeschränkt, nur im BEM-Sitzungsrahmen)</w:t>
      </w:r>
    </w:p>
    <w:p>
      <w:pPr>
        <w:pStyle w:val="ListBullet"/>
      </w:pPr>
      <w:r>
        <w:t>IT-Administrator (technischer Zugriff, nicht inhaltlich)</w:t>
      </w:r>
    </w:p>
    <w:p/>
    <w:p>
      <w:pPr>
        <w:pStyle w:val="Heading2"/>
      </w:pPr>
      <w:r>
        <w:rPr>
          <w:rFonts w:ascii="Times New Roman" w:hAnsi="Times New Roman"/>
        </w:rPr>
        <w:t>3. Risikoanalyse</w:t>
      </w:r>
    </w:p>
    <w:p>
      <w:pPr>
        <w:pStyle w:val="Heading3"/>
      </w:pPr>
      <w:r>
        <w:rPr>
          <w:rFonts w:ascii="Times New Roman" w:hAnsi="Times New Roman"/>
        </w:rPr>
        <w:t>3.1 Identifizierte Risiken vor dem Vorfall</w:t>
      </w:r>
    </w:p>
    <w:tbl>
      <w:tblPr>
        <w:tblStyle w:val="TableGrid"/>
        <w:tblW w:type="auto" w:w="0"/>
        <w:tblLook w:firstColumn="1" w:firstRow="1" w:lastColumn="0" w:lastRow="0" w:noHBand="0" w:noVBand="1" w:val="04A0"/>
      </w:tblPr>
      <w:tblGrid>
        <w:gridCol w:w="3024"/>
        <w:gridCol w:w="3024"/>
        <w:gridCol w:w="3024"/>
      </w:tblGrid>
      <w:tr>
        <w:tc>
          <w:tcPr>
            <w:tcW w:type="dxa" w:w="3024"/>
          </w:tcPr>
          <w:p>
            <w:r>
              <w:rPr>
                <w:rFonts w:ascii="Times New Roman" w:hAnsi="Times New Roman"/>
                <w:b/>
                <w:sz w:val="20"/>
              </w:rPr>
              <w:t>Risiko</w:t>
            </w:r>
          </w:p>
        </w:tc>
        <w:tc>
          <w:tcPr>
            <w:tcW w:type="dxa" w:w="3024"/>
          </w:tcPr>
          <w:p>
            <w:r>
              <w:rPr>
                <w:rFonts w:ascii="Times New Roman" w:hAnsi="Times New Roman"/>
                <w:b/>
                <w:sz w:val="20"/>
              </w:rPr>
              <w:t>Eintrittswahrscheinlichkeit (vor Vorfall)</w:t>
            </w:r>
          </w:p>
        </w:tc>
        <w:tc>
          <w:tcPr>
            <w:tcW w:type="dxa" w:w="3024"/>
          </w:tcPr>
          <w:p>
            <w:r>
              <w:rPr>
                <w:rFonts w:ascii="Times New Roman" w:hAnsi="Times New Roman"/>
                <w:b/>
                <w:sz w:val="20"/>
              </w:rPr>
              <w:t>Schwere</w:t>
            </w:r>
          </w:p>
        </w:tc>
      </w:tr>
      <w:tr>
        <w:tc>
          <w:tcPr>
            <w:tcW w:type="dxa" w:w="3024"/>
          </w:tcPr>
          <w:p>
            <w:r>
              <w:rPr>
                <w:rFonts w:ascii="Times New Roman" w:hAnsi="Times New Roman"/>
                <w:sz w:val="20"/>
              </w:rPr>
              <w:t>Unbefugter Zugang durch Datenpanne</w:t>
            </w:r>
          </w:p>
        </w:tc>
        <w:tc>
          <w:tcPr>
            <w:tcW w:type="dxa" w:w="3024"/>
          </w:tcPr>
          <w:p>
            <w:r>
              <w:rPr>
                <w:rFonts w:ascii="Times New Roman" w:hAnsi="Times New Roman"/>
                <w:sz w:val="20"/>
              </w:rPr>
              <w:t>Mittel</w:t>
            </w:r>
          </w:p>
        </w:tc>
        <w:tc>
          <w:tcPr>
            <w:tcW w:type="dxa" w:w="3024"/>
          </w:tcPr>
          <w:p>
            <w:r>
              <w:rPr>
                <w:rFonts w:ascii="Times New Roman" w:hAnsi="Times New Roman"/>
                <w:sz w:val="20"/>
              </w:rPr>
              <w:t>Sehr hoch</w:t>
            </w:r>
          </w:p>
        </w:tc>
      </w:tr>
      <w:tr>
        <w:tc>
          <w:tcPr>
            <w:tcW w:type="dxa" w:w="3024"/>
          </w:tcPr>
          <w:p>
            <w:r>
              <w:rPr>
                <w:rFonts w:ascii="Times New Roman" w:hAnsi="Times New Roman"/>
                <w:sz w:val="20"/>
              </w:rPr>
              <w:t>Unsachgemäße Nutzung durch Mitarbeiter</w:t>
            </w:r>
          </w:p>
        </w:tc>
        <w:tc>
          <w:tcPr>
            <w:tcW w:type="dxa" w:w="3024"/>
          </w:tcPr>
          <w:p>
            <w:r>
              <w:rPr>
                <w:rFonts w:ascii="Times New Roman" w:hAnsi="Times New Roman"/>
                <w:sz w:val="20"/>
              </w:rPr>
              <w:t>Niedrig</w:t>
            </w:r>
          </w:p>
        </w:tc>
        <w:tc>
          <w:tcPr>
            <w:tcW w:type="dxa" w:w="3024"/>
          </w:tcPr>
          <w:p>
            <w:r>
              <w:rPr>
                <w:rFonts w:ascii="Times New Roman" w:hAnsi="Times New Roman"/>
                <w:sz w:val="20"/>
              </w:rPr>
              <w:t>Hoch</w:t>
            </w:r>
          </w:p>
        </w:tc>
      </w:tr>
      <w:tr>
        <w:tc>
          <w:tcPr>
            <w:tcW w:type="dxa" w:w="3024"/>
          </w:tcPr>
          <w:p>
            <w:r>
              <w:rPr>
                <w:rFonts w:ascii="Times New Roman" w:hAnsi="Times New Roman"/>
                <w:sz w:val="20"/>
              </w:rPr>
              <w:t>Weitergabe an Dritte</w:t>
            </w:r>
          </w:p>
        </w:tc>
        <w:tc>
          <w:tcPr>
            <w:tcW w:type="dxa" w:w="3024"/>
          </w:tcPr>
          <w:p>
            <w:r>
              <w:rPr>
                <w:rFonts w:ascii="Times New Roman" w:hAnsi="Times New Roman"/>
                <w:sz w:val="20"/>
              </w:rPr>
              <w:t>Niedrig</w:t>
            </w:r>
          </w:p>
        </w:tc>
        <w:tc>
          <w:tcPr>
            <w:tcW w:type="dxa" w:w="3024"/>
          </w:tcPr>
          <w:p>
            <w:r>
              <w:rPr>
                <w:rFonts w:ascii="Times New Roman" w:hAnsi="Times New Roman"/>
                <w:sz w:val="20"/>
              </w:rPr>
              <w:t>Sehr hoch</w:t>
            </w:r>
          </w:p>
        </w:tc>
      </w:tr>
      <w:tr>
        <w:tc>
          <w:tcPr>
            <w:tcW w:type="dxa" w:w="3024"/>
          </w:tcPr>
          <w:p>
            <w:r>
              <w:rPr>
                <w:rFonts w:ascii="Times New Roman" w:hAnsi="Times New Roman"/>
                <w:sz w:val="20"/>
              </w:rPr>
              <w:t>Datenverlust durch technischen Fehler</w:t>
            </w:r>
          </w:p>
        </w:tc>
        <w:tc>
          <w:tcPr>
            <w:tcW w:type="dxa" w:w="3024"/>
          </w:tcPr>
          <w:p>
            <w:r>
              <w:rPr>
                <w:rFonts w:ascii="Times New Roman" w:hAnsi="Times New Roman"/>
                <w:sz w:val="20"/>
              </w:rPr>
              <w:t>Niedrig</w:t>
            </w:r>
          </w:p>
        </w:tc>
        <w:tc>
          <w:tcPr>
            <w:tcW w:type="dxa" w:w="3024"/>
          </w:tcPr>
          <w:p>
            <w:r>
              <w:rPr>
                <w:rFonts w:ascii="Times New Roman" w:hAnsi="Times New Roman"/>
                <w:sz w:val="20"/>
              </w:rPr>
              <w:t>Mittel</w:t>
            </w:r>
          </w:p>
        </w:tc>
      </w:tr>
    </w:tbl>
    <w:p>
      <w:pPr>
        <w:pStyle w:val="Heading3"/>
      </w:pPr>
      <w:r>
        <w:rPr>
          <w:rFonts w:ascii="Times New Roman" w:hAnsi="Times New Roman"/>
        </w:rPr>
        <w:t>3.2 Risikobewertung nach Vorfall</w:t>
      </w:r>
    </w:p>
    <w:p>
      <w:pPr>
        <w:jc w:val="left"/>
      </w:pPr>
      <w:r>
        <w:t>Durch den Ransomware-Angriff und den Datenabfluss sind folgende Szenarien jetzt konkret eingetreten:</w:t>
      </w:r>
    </w:p>
    <w:p>
      <w:pPr>
        <w:jc w:val="left"/>
      </w:pPr>
      <w:r>
        <w:rPr>
          <w:b/>
        </w:rPr>
        <w:t>Szenario 1 — Veröffentlichung durch Erpressergruppe:</w:t>
      </w:r>
    </w:p>
    <w:p>
      <w:pPr>
        <w:jc w:val="left"/>
      </w:pPr>
      <w:r>
        <w:t>AkiraNext droht mit Veröffentlichung der Daten auf ihrer Leakseite. Sollte dies geschehen, sind die Gesundheitsdaten von 38 Mitarbeitern öffentlich zugänglich. Folgen:</w:t>
      </w:r>
    </w:p>
    <w:p>
      <w:pPr>
        <w:pStyle w:val="ListBullet"/>
      </w:pPr>
      <w:r>
        <w:t>Soziale Stigmatisierung (psychische Erkrankungen, Suchterkrankungen)</w:t>
      </w:r>
    </w:p>
    <w:p>
      <w:pPr>
        <w:pStyle w:val="ListBullet"/>
      </w:pPr>
      <w:r>
        <w:t>Auswirkungen auf Kreditwürdigkeit, Versicherbarkeit</w:t>
      </w:r>
    </w:p>
    <w:p>
      <w:pPr>
        <w:pStyle w:val="ListBullet"/>
      </w:pPr>
      <w:r>
        <w:t>Diskriminierung bei künftigen Bewerbungen</w:t>
      </w:r>
    </w:p>
    <w:p>
      <w:pPr>
        <w:pStyle w:val="ListBullet"/>
      </w:pPr>
      <w:r>
        <w:t>Psychische Belastung durch Kontrollverlust über intimste Daten</w:t>
      </w:r>
    </w:p>
    <w:p>
      <w:pPr>
        <w:jc w:val="left"/>
      </w:pPr>
      <w:r>
        <w:rPr>
          <w:b/>
        </w:rPr>
        <w:t>Risikoklassifikation:</w:t>
      </w:r>
      <w:r>
        <w:t xml:space="preserve"> HOCH — unmittelbare, schwerwiegende Folgen für vulnerable Personen.</w:t>
      </w:r>
    </w:p>
    <w:p>
      <w:pPr>
        <w:jc w:val="left"/>
      </w:pPr>
      <w:r>
        <w:rPr>
          <w:b/>
        </w:rPr>
        <w:t>Szenario 2 — Missbrauch durch Dritte:</w:t>
      </w:r>
    </w:p>
    <w:p>
      <w:pPr>
        <w:jc w:val="left"/>
      </w:pPr>
      <w:r>
        <w:t>Die Daten könnten an spezialisierte Datenhändler oder Identitätsdiebe verkauft werden.</w:t>
      </w:r>
    </w:p>
    <w:p>
      <w:pPr>
        <w:jc w:val="left"/>
      </w:pPr>
      <w:r>
        <w:rPr>
          <w:b/>
        </w:rPr>
        <w:t>Szenario 3 — Erpressung der betroffenen Mitarbeiter:</w:t>
      </w:r>
    </w:p>
    <w:p>
      <w:pPr>
        <w:jc w:val="left"/>
      </w:pPr>
      <w:r>
        <w:t>Einzelne Mitarbeiter könnten selbst erpresst werden (z.B. „Wir veröffentlichen Ihre Diagnose, wenn Sie nicht zahlen"). Dies stellt eine zusätzliche Belastung für besonders vulnerable Personen dar.</w:t>
      </w:r>
    </w:p>
    <w:p/>
    <w:p>
      <w:pPr>
        <w:pStyle w:val="Heading2"/>
      </w:pPr>
      <w:r>
        <w:rPr>
          <w:rFonts w:ascii="Times New Roman" w:hAnsi="Times New Roman"/>
        </w:rPr>
        <w:t>4. Bereits bestehende technisch-organisatorische Maßnahmen (TOMs) — Bewertung</w:t>
      </w:r>
    </w:p>
    <w:tbl>
      <w:tblPr>
        <w:tblStyle w:val="TableGrid"/>
        <w:tblW w:type="auto" w:w="0"/>
        <w:tblLook w:firstColumn="1" w:firstRow="1" w:lastColumn="0" w:lastRow="0" w:noHBand="0" w:noVBand="1" w:val="04A0"/>
      </w:tblPr>
      <w:tblGrid>
        <w:gridCol w:w="3024"/>
        <w:gridCol w:w="3024"/>
        <w:gridCol w:w="3024"/>
      </w:tblGrid>
      <w:tr>
        <w:tc>
          <w:tcPr>
            <w:tcW w:type="dxa" w:w="3024"/>
          </w:tcPr>
          <w:p>
            <w:r>
              <w:rPr>
                <w:rFonts w:ascii="Times New Roman" w:hAnsi="Times New Roman"/>
                <w:b/>
                <w:sz w:val="20"/>
              </w:rPr>
              <w:t>Maßnahme</w:t>
            </w:r>
          </w:p>
        </w:tc>
        <w:tc>
          <w:tcPr>
            <w:tcW w:type="dxa" w:w="3024"/>
          </w:tcPr>
          <w:p>
            <w:r>
              <w:rPr>
                <w:rFonts w:ascii="Times New Roman" w:hAnsi="Times New Roman"/>
                <w:b/>
                <w:sz w:val="20"/>
              </w:rPr>
              <w:t>Status vor Vorfall</w:t>
            </w:r>
          </w:p>
        </w:tc>
        <w:tc>
          <w:tcPr>
            <w:tcW w:type="dxa" w:w="3024"/>
          </w:tcPr>
          <w:p>
            <w:r>
              <w:rPr>
                <w:rFonts w:ascii="Times New Roman" w:hAnsi="Times New Roman"/>
                <w:b/>
                <w:sz w:val="20"/>
              </w:rPr>
              <w:t>Bewertung</w:t>
            </w:r>
          </w:p>
        </w:tc>
      </w:tr>
      <w:tr>
        <w:tc>
          <w:tcPr>
            <w:tcW w:type="dxa" w:w="3024"/>
          </w:tcPr>
          <w:p>
            <w:r>
              <w:rPr>
                <w:rFonts w:ascii="Times New Roman" w:hAnsi="Times New Roman"/>
                <w:sz w:val="20"/>
              </w:rPr>
              <w:t>Zugriffskontrolle (Rollenkonzept)</w:t>
            </w:r>
          </w:p>
        </w:tc>
        <w:tc>
          <w:tcPr>
            <w:tcW w:type="dxa" w:w="3024"/>
          </w:tcPr>
          <w:p>
            <w:r>
              <w:rPr>
                <w:rFonts w:ascii="Times New Roman" w:hAnsi="Times New Roman"/>
                <w:sz w:val="20"/>
              </w:rPr>
              <w:t>Implementiert</w:t>
            </w:r>
          </w:p>
        </w:tc>
        <w:tc>
          <w:tcPr>
            <w:tcW w:type="dxa" w:w="3024"/>
          </w:tcPr>
          <w:p>
            <w:r>
              <w:rPr>
                <w:rFonts w:ascii="Times New Roman" w:hAnsi="Times New Roman"/>
                <w:sz w:val="20"/>
              </w:rPr>
              <w:t>Ausreichend</w:t>
            </w:r>
          </w:p>
        </w:tc>
      </w:tr>
      <w:tr>
        <w:tc>
          <w:tcPr>
            <w:tcW w:type="dxa" w:w="3024"/>
          </w:tcPr>
          <w:p>
            <w:r>
              <w:rPr>
                <w:rFonts w:ascii="Times New Roman" w:hAnsi="Times New Roman"/>
                <w:sz w:val="20"/>
              </w:rPr>
              <w:t>Verschlüsselung der Daten at rest</w:t>
            </w:r>
          </w:p>
        </w:tc>
        <w:tc>
          <w:tcPr>
            <w:tcW w:type="dxa" w:w="3024"/>
          </w:tcPr>
          <w:p>
            <w:r>
              <w:rPr>
                <w:rFonts w:ascii="Times New Roman" w:hAnsi="Times New Roman"/>
                <w:sz w:val="20"/>
              </w:rPr>
              <w:t>Nicht vollständig</w:t>
            </w:r>
          </w:p>
        </w:tc>
        <w:tc>
          <w:tcPr>
            <w:tcW w:type="dxa" w:w="3024"/>
          </w:tcPr>
          <w:p>
            <w:r>
              <w:rPr>
                <w:rFonts w:ascii="Times New Roman" w:hAnsi="Times New Roman"/>
                <w:sz w:val="20"/>
              </w:rPr>
              <w:t>Unzureichend</w:t>
            </w:r>
          </w:p>
        </w:tc>
      </w:tr>
      <w:tr>
        <w:tc>
          <w:tcPr>
            <w:tcW w:type="dxa" w:w="3024"/>
          </w:tcPr>
          <w:p>
            <w:r>
              <w:rPr>
                <w:rFonts w:ascii="Times New Roman" w:hAnsi="Times New Roman"/>
                <w:sz w:val="20"/>
              </w:rPr>
              <w:t>Netzwerksegmentierung</w:t>
            </w:r>
          </w:p>
        </w:tc>
        <w:tc>
          <w:tcPr>
            <w:tcW w:type="dxa" w:w="3024"/>
          </w:tcPr>
          <w:p>
            <w:r>
              <w:rPr>
                <w:rFonts w:ascii="Times New Roman" w:hAnsi="Times New Roman"/>
                <w:sz w:val="20"/>
              </w:rPr>
              <w:t>Unzureichend</w:t>
            </w:r>
          </w:p>
        </w:tc>
        <w:tc>
          <w:tcPr>
            <w:tcW w:type="dxa" w:w="3024"/>
          </w:tcPr>
          <w:p>
            <w:r>
              <w:rPr>
                <w:rFonts w:ascii="Times New Roman" w:hAnsi="Times New Roman"/>
                <w:sz w:val="20"/>
              </w:rPr>
              <w:t>Unzureichend</w:t>
            </w:r>
          </w:p>
        </w:tc>
      </w:tr>
      <w:tr>
        <w:tc>
          <w:tcPr>
            <w:tcW w:type="dxa" w:w="3024"/>
          </w:tcPr>
          <w:p>
            <w:r>
              <w:rPr>
                <w:rFonts w:ascii="Times New Roman" w:hAnsi="Times New Roman"/>
                <w:sz w:val="20"/>
              </w:rPr>
              <w:t>Patch-Management</w:t>
            </w:r>
          </w:p>
        </w:tc>
        <w:tc>
          <w:tcPr>
            <w:tcW w:type="dxa" w:w="3024"/>
          </w:tcPr>
          <w:p>
            <w:r>
              <w:rPr>
                <w:rFonts w:ascii="Times New Roman" w:hAnsi="Times New Roman"/>
                <w:sz w:val="20"/>
              </w:rPr>
              <w:t>Defizitär (CVE-2026-0712)</w:t>
            </w:r>
          </w:p>
        </w:tc>
        <w:tc>
          <w:tcPr>
            <w:tcW w:type="dxa" w:w="3024"/>
          </w:tcPr>
          <w:p>
            <w:r>
              <w:rPr>
                <w:rFonts w:ascii="Times New Roman" w:hAnsi="Times New Roman"/>
                <w:sz w:val="20"/>
              </w:rPr>
              <w:t>Unzureichend</w:t>
            </w:r>
          </w:p>
        </w:tc>
      </w:tr>
      <w:tr>
        <w:tc>
          <w:tcPr>
            <w:tcW w:type="dxa" w:w="3024"/>
          </w:tcPr>
          <w:p>
            <w:r>
              <w:rPr>
                <w:rFonts w:ascii="Times New Roman" w:hAnsi="Times New Roman"/>
                <w:sz w:val="20"/>
              </w:rPr>
              <w:t>MFA für HR-Zugang</w:t>
            </w:r>
          </w:p>
        </w:tc>
        <w:tc>
          <w:tcPr>
            <w:tcW w:type="dxa" w:w="3024"/>
          </w:tcPr>
          <w:p>
            <w:r>
              <w:rPr>
                <w:rFonts w:ascii="Times New Roman" w:hAnsi="Times New Roman"/>
                <w:sz w:val="20"/>
              </w:rPr>
              <w:t>Nicht implementiert</w:t>
            </w:r>
          </w:p>
        </w:tc>
        <w:tc>
          <w:tcPr>
            <w:tcW w:type="dxa" w:w="3024"/>
          </w:tcPr>
          <w:p>
            <w:r>
              <w:rPr>
                <w:rFonts w:ascii="Times New Roman" w:hAnsi="Times New Roman"/>
                <w:sz w:val="20"/>
              </w:rPr>
              <w:t>Unzureichend</w:t>
            </w:r>
          </w:p>
        </w:tc>
      </w:tr>
      <w:tr>
        <w:tc>
          <w:tcPr>
            <w:tcW w:type="dxa" w:w="3024"/>
          </w:tcPr>
          <w:p>
            <w:r>
              <w:rPr>
                <w:rFonts w:ascii="Times New Roman" w:hAnsi="Times New Roman"/>
                <w:sz w:val="20"/>
              </w:rPr>
              <w:t>Backup und Wiederherstellbarkeit</w:t>
            </w:r>
          </w:p>
        </w:tc>
        <w:tc>
          <w:tcPr>
            <w:tcW w:type="dxa" w:w="3024"/>
          </w:tcPr>
          <w:p>
            <w:r>
              <w:rPr>
                <w:rFonts w:ascii="Times New Roman" w:hAnsi="Times New Roman"/>
                <w:sz w:val="20"/>
              </w:rPr>
              <w:t>Vorhanden (3-Tage-Rückstand)</w:t>
            </w:r>
          </w:p>
        </w:tc>
        <w:tc>
          <w:tcPr>
            <w:tcW w:type="dxa" w:w="3024"/>
          </w:tcPr>
          <w:p>
            <w:r>
              <w:rPr>
                <w:rFonts w:ascii="Times New Roman" w:hAnsi="Times New Roman"/>
                <w:sz w:val="20"/>
              </w:rPr>
              <w:t>Teilweise ausreichend</w:t>
            </w:r>
          </w:p>
        </w:tc>
      </w:tr>
      <w:tr>
        <w:tc>
          <w:tcPr>
            <w:tcW w:type="dxa" w:w="3024"/>
          </w:tcPr>
          <w:p>
            <w:r>
              <w:rPr>
                <w:rFonts w:ascii="Times New Roman" w:hAnsi="Times New Roman"/>
                <w:sz w:val="20"/>
              </w:rPr>
              <w:t>Protokollierung / SIEM</w:t>
            </w:r>
          </w:p>
        </w:tc>
        <w:tc>
          <w:tcPr>
            <w:tcW w:type="dxa" w:w="3024"/>
          </w:tcPr>
          <w:p>
            <w:r>
              <w:rPr>
                <w:rFonts w:ascii="Times New Roman" w:hAnsi="Times New Roman"/>
                <w:sz w:val="20"/>
              </w:rPr>
              <w:t>Über InsoTec (extern)</w:t>
            </w:r>
          </w:p>
        </w:tc>
        <w:tc>
          <w:tcPr>
            <w:tcW w:type="dxa" w:w="3024"/>
          </w:tcPr>
          <w:p>
            <w:r>
              <w:rPr>
                <w:rFonts w:ascii="Times New Roman" w:hAnsi="Times New Roman"/>
                <w:sz w:val="20"/>
              </w:rPr>
              <w:t>Teilweise ausreichend</w:t>
            </w:r>
          </w:p>
        </w:tc>
      </w:tr>
      <w:tr>
        <w:tc>
          <w:tcPr>
            <w:tcW w:type="dxa" w:w="3024"/>
          </w:tcPr>
          <w:p>
            <w:r>
              <w:rPr>
                <w:rFonts w:ascii="Times New Roman" w:hAnsi="Times New Roman"/>
                <w:sz w:val="20"/>
              </w:rPr>
              <w:t>Sensibilisierungsschulungen</w:t>
            </w:r>
          </w:p>
        </w:tc>
        <w:tc>
          <w:tcPr>
            <w:tcW w:type="dxa" w:w="3024"/>
          </w:tcPr>
          <w:p>
            <w:r>
              <w:rPr>
                <w:rFonts w:ascii="Times New Roman" w:hAnsi="Times New Roman"/>
                <w:sz w:val="20"/>
              </w:rPr>
              <w:t>Jährlich</w:t>
            </w:r>
          </w:p>
        </w:tc>
        <w:tc>
          <w:tcPr>
            <w:tcW w:type="dxa" w:w="3024"/>
          </w:tcPr>
          <w:p>
            <w:r>
              <w:rPr>
                <w:rFonts w:ascii="Times New Roman" w:hAnsi="Times New Roman"/>
                <w:sz w:val="20"/>
              </w:rPr>
              <w:t>Ausreichend</w:t>
            </w:r>
          </w:p>
        </w:tc>
      </w:tr>
      <w:tr>
        <w:tc>
          <w:tcPr>
            <w:tcW w:type="dxa" w:w="3024"/>
          </w:tcPr>
          <w:p>
            <w:r>
              <w:rPr>
                <w:rFonts w:ascii="Times New Roman" w:hAnsi="Times New Roman"/>
                <w:sz w:val="20"/>
              </w:rPr>
              <w:t>Auftragsverarbeitungsvertrag (AVV)</w:t>
            </w:r>
          </w:p>
        </w:tc>
        <w:tc>
          <w:tcPr>
            <w:tcW w:type="dxa" w:w="3024"/>
          </w:tcPr>
          <w:p>
            <w:r>
              <w:rPr>
                <w:rFonts w:ascii="Times New Roman" w:hAnsi="Times New Roman"/>
                <w:sz w:val="20"/>
              </w:rPr>
              <w:t>Vorhanden (InsoTec, ProcessSpark)</w:t>
            </w:r>
          </w:p>
        </w:tc>
        <w:tc>
          <w:tcPr>
            <w:tcW w:type="dxa" w:w="3024"/>
          </w:tcPr>
          <w:p>
            <w:r>
              <w:rPr>
                <w:rFonts w:ascii="Times New Roman" w:hAnsi="Times New Roman"/>
                <w:sz w:val="20"/>
              </w:rPr>
              <w:t>Vorhanden</w:t>
            </w:r>
          </w:p>
        </w:tc>
      </w:tr>
    </w:tbl>
    <w:p>
      <w:pPr>
        <w:jc w:val="left"/>
      </w:pPr>
      <w:r>
        <w:rPr>
          <w:b/>
        </w:rPr>
        <w:t>Gesamtbewertung TOMs:</w:t>
      </w:r>
      <w:r>
        <w:t xml:space="preserve"> Die TOMs waren vor dem Vorfall für eine Datenverarbeitung der Kategorie „Art. 9 DSGVO — Gesundheitsdaten im Beschäftigtenkontext" </w:t>
      </w:r>
      <w:r>
        <w:rPr>
          <w:b/>
        </w:rPr>
        <w:t>nicht ausreichend</w:t>
      </w:r>
      <w:r>
        <w:t>. Insbesondere die fehlende Verschlüsselung at rest und das unzureichende Patch-Management stellen erhebliche Mängel dar.</w:t>
      </w:r>
    </w:p>
    <w:p/>
    <w:p>
      <w:pPr>
        <w:pStyle w:val="Heading2"/>
      </w:pPr>
      <w:r>
        <w:rPr>
          <w:rFonts w:ascii="Times New Roman" w:hAnsi="Times New Roman"/>
        </w:rPr>
        <w:t>5. Geplante Abhilfemaßnahmen</w:t>
      </w:r>
    </w:p>
    <w:tbl>
      <w:tblPr>
        <w:tblStyle w:val="TableGrid"/>
        <w:tblW w:type="auto" w:w="0"/>
        <w:tblLook w:firstColumn="1" w:firstRow="1" w:lastColumn="0" w:lastRow="0" w:noHBand="0" w:noVBand="1" w:val="04A0"/>
      </w:tblPr>
      <w:tblGrid>
        <w:gridCol w:w="3024"/>
        <w:gridCol w:w="3024"/>
        <w:gridCol w:w="3024"/>
      </w:tblGrid>
      <w:tr>
        <w:tc>
          <w:tcPr>
            <w:tcW w:type="dxa" w:w="3024"/>
          </w:tcPr>
          <w:p>
            <w:r>
              <w:rPr>
                <w:rFonts w:ascii="Times New Roman" w:hAnsi="Times New Roman"/>
                <w:b/>
                <w:sz w:val="20"/>
              </w:rPr>
              <w:t>Maßnahme</w:t>
            </w:r>
          </w:p>
        </w:tc>
        <w:tc>
          <w:tcPr>
            <w:tcW w:type="dxa" w:w="3024"/>
          </w:tcPr>
          <w:p>
            <w:r>
              <w:rPr>
                <w:rFonts w:ascii="Times New Roman" w:hAnsi="Times New Roman"/>
                <w:b/>
                <w:sz w:val="20"/>
              </w:rPr>
              <w:t>Verantwortlich</w:t>
            </w:r>
          </w:p>
        </w:tc>
        <w:tc>
          <w:tcPr>
            <w:tcW w:type="dxa" w:w="3024"/>
          </w:tcPr>
          <w:p>
            <w:r>
              <w:rPr>
                <w:rFonts w:ascii="Times New Roman" w:hAnsi="Times New Roman"/>
                <w:b/>
                <w:sz w:val="20"/>
              </w:rPr>
              <w:t>Frist</w:t>
            </w:r>
          </w:p>
        </w:tc>
      </w:tr>
      <w:tr>
        <w:tc>
          <w:tcPr>
            <w:tcW w:type="dxa" w:w="3024"/>
          </w:tcPr>
          <w:p>
            <w:r>
              <w:rPr>
                <w:rFonts w:ascii="Times New Roman" w:hAnsi="Times New Roman"/>
                <w:sz w:val="20"/>
              </w:rPr>
              <w:t>Einführung Ende-zu-Ende-Verschlüsselung für HR-Daten (at rest)</w:t>
            </w:r>
          </w:p>
        </w:tc>
        <w:tc>
          <w:tcPr>
            <w:tcW w:type="dxa" w:w="3024"/>
          </w:tcPr>
          <w:p>
            <w:r>
              <w:rPr>
                <w:rFonts w:ascii="Times New Roman" w:hAnsi="Times New Roman"/>
                <w:sz w:val="20"/>
              </w:rPr>
              <w:t>IT / InsoTec</w:t>
            </w:r>
          </w:p>
        </w:tc>
        <w:tc>
          <w:tcPr>
            <w:tcW w:type="dxa" w:w="3024"/>
          </w:tcPr>
          <w:p>
            <w:r>
              <w:rPr>
                <w:rFonts w:ascii="Times New Roman" w:hAnsi="Times New Roman"/>
                <w:sz w:val="20"/>
              </w:rPr>
              <w:t>30.06.2026</w:t>
            </w:r>
          </w:p>
        </w:tc>
      </w:tr>
      <w:tr>
        <w:tc>
          <w:tcPr>
            <w:tcW w:type="dxa" w:w="3024"/>
          </w:tcPr>
          <w:p>
            <w:r>
              <w:rPr>
                <w:rFonts w:ascii="Times New Roman" w:hAnsi="Times New Roman"/>
                <w:sz w:val="20"/>
              </w:rPr>
              <w:t>MFA für alle HR-Systemzugänge</w:t>
            </w:r>
          </w:p>
        </w:tc>
        <w:tc>
          <w:tcPr>
            <w:tcW w:type="dxa" w:w="3024"/>
          </w:tcPr>
          <w:p>
            <w:r>
              <w:rPr>
                <w:rFonts w:ascii="Times New Roman" w:hAnsi="Times New Roman"/>
                <w:sz w:val="20"/>
              </w:rPr>
              <w:t>IT / InsoTec</w:t>
            </w:r>
          </w:p>
        </w:tc>
        <w:tc>
          <w:tcPr>
            <w:tcW w:type="dxa" w:w="3024"/>
          </w:tcPr>
          <w:p>
            <w:r>
              <w:rPr>
                <w:rFonts w:ascii="Times New Roman" w:hAnsi="Times New Roman"/>
                <w:sz w:val="20"/>
              </w:rPr>
              <w:t>15.06.2026</w:t>
            </w:r>
          </w:p>
        </w:tc>
      </w:tr>
      <w:tr>
        <w:tc>
          <w:tcPr>
            <w:tcW w:type="dxa" w:w="3024"/>
          </w:tcPr>
          <w:p>
            <w:r>
              <w:rPr>
                <w:rFonts w:ascii="Times New Roman" w:hAnsi="Times New Roman"/>
                <w:sz w:val="20"/>
              </w:rPr>
              <w:t>Zero-Trust-Netzwerkarchitektur für HR-Segment</w:t>
            </w:r>
          </w:p>
        </w:tc>
        <w:tc>
          <w:tcPr>
            <w:tcW w:type="dxa" w:w="3024"/>
          </w:tcPr>
          <w:p>
            <w:r>
              <w:rPr>
                <w:rFonts w:ascii="Times New Roman" w:hAnsi="Times New Roman"/>
                <w:sz w:val="20"/>
              </w:rPr>
              <w:t>IT / InsoTec</w:t>
            </w:r>
          </w:p>
        </w:tc>
        <w:tc>
          <w:tcPr>
            <w:tcW w:type="dxa" w:w="3024"/>
          </w:tcPr>
          <w:p>
            <w:r>
              <w:rPr>
                <w:rFonts w:ascii="Times New Roman" w:hAnsi="Times New Roman"/>
                <w:sz w:val="20"/>
              </w:rPr>
              <w:t>31.08.2026</w:t>
            </w:r>
          </w:p>
        </w:tc>
      </w:tr>
      <w:tr>
        <w:tc>
          <w:tcPr>
            <w:tcW w:type="dxa" w:w="3024"/>
          </w:tcPr>
          <w:p>
            <w:r>
              <w:rPr>
                <w:rFonts w:ascii="Times New Roman" w:hAnsi="Times New Roman"/>
                <w:sz w:val="20"/>
              </w:rPr>
              <w:t>Neues Patch-Management-Konzept (SLA-gesichert)</w:t>
            </w:r>
          </w:p>
        </w:tc>
        <w:tc>
          <w:tcPr>
            <w:tcW w:type="dxa" w:w="3024"/>
          </w:tcPr>
          <w:p>
            <w:r>
              <w:rPr>
                <w:rFonts w:ascii="Times New Roman" w:hAnsi="Times New Roman"/>
                <w:sz w:val="20"/>
              </w:rPr>
              <w:t>ProcessSpark / intern</w:t>
            </w:r>
          </w:p>
        </w:tc>
        <w:tc>
          <w:tcPr>
            <w:tcW w:type="dxa" w:w="3024"/>
          </w:tcPr>
          <w:p>
            <w:r>
              <w:rPr>
                <w:rFonts w:ascii="Times New Roman" w:hAnsi="Times New Roman"/>
                <w:sz w:val="20"/>
              </w:rPr>
              <w:t>30.06.2026</w:t>
            </w:r>
          </w:p>
        </w:tc>
      </w:tr>
      <w:tr>
        <w:tc>
          <w:tcPr>
            <w:tcW w:type="dxa" w:w="3024"/>
          </w:tcPr>
          <w:p>
            <w:r>
              <w:rPr>
                <w:rFonts w:ascii="Times New Roman" w:hAnsi="Times New Roman"/>
                <w:sz w:val="20"/>
              </w:rPr>
              <w:t>DSGVO-Schulung HR-Mitarbeiter</w:t>
            </w:r>
          </w:p>
        </w:tc>
        <w:tc>
          <w:tcPr>
            <w:tcW w:type="dxa" w:w="3024"/>
          </w:tcPr>
          <w:p>
            <w:r>
              <w:rPr>
                <w:rFonts w:ascii="Times New Roman" w:hAnsi="Times New Roman"/>
                <w:sz w:val="20"/>
              </w:rPr>
              <w:t>DSB Feilke</w:t>
            </w:r>
          </w:p>
        </w:tc>
        <w:tc>
          <w:tcPr>
            <w:tcW w:type="dxa" w:w="3024"/>
          </w:tcPr>
          <w:p>
            <w:r>
              <w:rPr>
                <w:rFonts w:ascii="Times New Roman" w:hAnsi="Times New Roman"/>
                <w:sz w:val="20"/>
              </w:rPr>
              <w:t>30.06.2026</w:t>
            </w:r>
          </w:p>
        </w:tc>
      </w:tr>
      <w:tr>
        <w:tc>
          <w:tcPr>
            <w:tcW w:type="dxa" w:w="3024"/>
          </w:tcPr>
          <w:p>
            <w:r>
              <w:rPr>
                <w:rFonts w:ascii="Times New Roman" w:hAnsi="Times New Roman"/>
                <w:sz w:val="20"/>
              </w:rPr>
              <w:t>Überarbeitung AVV ProcessSpark und InsoTec</w:t>
            </w:r>
          </w:p>
        </w:tc>
        <w:tc>
          <w:tcPr>
            <w:tcW w:type="dxa" w:w="3024"/>
          </w:tcPr>
          <w:p>
            <w:r>
              <w:rPr>
                <w:rFonts w:ascii="Times New Roman" w:hAnsi="Times New Roman"/>
                <w:sz w:val="20"/>
              </w:rPr>
              <w:t>RA Drosten</w:t>
            </w:r>
          </w:p>
        </w:tc>
        <w:tc>
          <w:tcPr>
            <w:tcW w:type="dxa" w:w="3024"/>
          </w:tcPr>
          <w:p>
            <w:r>
              <w:rPr>
                <w:rFonts w:ascii="Times New Roman" w:hAnsi="Times New Roman"/>
                <w:sz w:val="20"/>
              </w:rPr>
              <w:t>31.05.2026</w:t>
            </w:r>
          </w:p>
        </w:tc>
      </w:tr>
      <w:tr>
        <w:tc>
          <w:tcPr>
            <w:tcW w:type="dxa" w:w="3024"/>
          </w:tcPr>
          <w:p>
            <w:r>
              <w:rPr>
                <w:rFonts w:ascii="Times New Roman" w:hAnsi="Times New Roman"/>
                <w:sz w:val="20"/>
              </w:rPr>
              <w:t>Einführung Data Loss Prevention (DLP)</w:t>
            </w:r>
          </w:p>
        </w:tc>
        <w:tc>
          <w:tcPr>
            <w:tcW w:type="dxa" w:w="3024"/>
          </w:tcPr>
          <w:p>
            <w:r>
              <w:rPr>
                <w:rFonts w:ascii="Times New Roman" w:hAnsi="Times New Roman"/>
                <w:sz w:val="20"/>
              </w:rPr>
              <w:t>IT</w:t>
            </w:r>
          </w:p>
        </w:tc>
        <w:tc>
          <w:tcPr>
            <w:tcW w:type="dxa" w:w="3024"/>
          </w:tcPr>
          <w:p>
            <w:r>
              <w:rPr>
                <w:rFonts w:ascii="Times New Roman" w:hAnsi="Times New Roman"/>
                <w:sz w:val="20"/>
              </w:rPr>
              <w:t>31.07.2026</w:t>
            </w:r>
          </w:p>
        </w:tc>
      </w:tr>
      <w:tr>
        <w:tc>
          <w:tcPr>
            <w:tcW w:type="dxa" w:w="3024"/>
          </w:tcPr>
          <w:p>
            <w:r>
              <w:rPr>
                <w:rFonts w:ascii="Times New Roman" w:hAnsi="Times New Roman"/>
                <w:sz w:val="20"/>
              </w:rPr>
              <w:t>Datenschutzaudit BEM-Prozesse</w:t>
            </w:r>
          </w:p>
        </w:tc>
        <w:tc>
          <w:tcPr>
            <w:tcW w:type="dxa" w:w="3024"/>
          </w:tcPr>
          <w:p>
            <w:r>
              <w:rPr>
                <w:rFonts w:ascii="Times New Roman" w:hAnsi="Times New Roman"/>
                <w:sz w:val="20"/>
              </w:rPr>
              <w:t>DSB Feilke</w:t>
            </w:r>
          </w:p>
        </w:tc>
        <w:tc>
          <w:tcPr>
            <w:tcW w:type="dxa" w:w="3024"/>
          </w:tcPr>
          <w:p>
            <w:r>
              <w:rPr>
                <w:rFonts w:ascii="Times New Roman" w:hAnsi="Times New Roman"/>
                <w:sz w:val="20"/>
              </w:rPr>
              <w:t>31.07.2026</w:t>
            </w:r>
          </w:p>
        </w:tc>
      </w:tr>
      <w:tr>
        <w:tc>
          <w:tcPr>
            <w:tcW w:type="dxa" w:w="3024"/>
          </w:tcPr>
          <w:p>
            <w:r>
              <w:rPr>
                <w:rFonts w:ascii="Times New Roman" w:hAnsi="Times New Roman"/>
                <w:sz w:val="20"/>
              </w:rPr>
              <w:t>Konsultation Betriebsrat zu TOMs</w:t>
            </w:r>
          </w:p>
        </w:tc>
        <w:tc>
          <w:tcPr>
            <w:tcW w:type="dxa" w:w="3024"/>
          </w:tcPr>
          <w:p>
            <w:r>
              <w:rPr>
                <w:rFonts w:ascii="Times New Roman" w:hAnsi="Times New Roman"/>
                <w:sz w:val="20"/>
              </w:rPr>
              <w:t>GF Wallbruck</w:t>
            </w:r>
          </w:p>
        </w:tc>
        <w:tc>
          <w:tcPr>
            <w:tcW w:type="dxa" w:w="3024"/>
          </w:tcPr>
          <w:p>
            <w:r>
              <w:rPr>
                <w:rFonts w:ascii="Times New Roman" w:hAnsi="Times New Roman"/>
                <w:sz w:val="20"/>
              </w:rPr>
              <w:t>20.05.2026</w:t>
            </w:r>
          </w:p>
        </w:tc>
      </w:tr>
    </w:tbl>
    <w:p/>
    <w:p>
      <w:pPr>
        <w:pStyle w:val="Heading2"/>
      </w:pPr>
      <w:r>
        <w:rPr>
          <w:rFonts w:ascii="Times New Roman" w:hAnsi="Times New Roman"/>
        </w:rPr>
        <w:t>6. Konsultation der Aufsichtsbehörde (Art. 36 DSGVO)</w:t>
      </w:r>
    </w:p>
    <w:p>
      <w:pPr>
        <w:jc w:val="left"/>
      </w:pPr>
      <w:r>
        <w:t>Aufgrund des hohen Restrisikos (Gesundheitsdaten, Exfiltration bereits erfolgt, Veröffentlichungsdrohung) wird eine vorherige Konsultation des LfDI RLP gemäß Art. 36 DSGVO durchgeführt. Die DSFA wird dem LfDI als Ergänzung zur Meldung vom 08.05.2026 übermittelt.</w:t>
      </w:r>
    </w:p>
    <w:p/>
    <w:p>
      <w:pPr>
        <w:pStyle w:val="Heading2"/>
      </w:pPr>
      <w:r>
        <w:rPr>
          <w:rFonts w:ascii="Times New Roman" w:hAnsi="Times New Roman"/>
        </w:rPr>
        <w:t>7. Ergebnis der DSFA</w:t>
      </w:r>
    </w:p>
    <w:p>
      <w:pPr>
        <w:jc w:val="left"/>
      </w:pPr>
      <w:r>
        <w:t xml:space="preserve">Die Datenschutz-Folgenabschätzung ergibt, dass die Verarbeitung von BEM-Gesundheitsdaten ohne die beschriebenen Abhilfemaßnahmen ein </w:t>
      </w:r>
      <w:r>
        <w:rPr>
          <w:b/>
        </w:rPr>
        <w:t>hohes Restrisiko</w:t>
      </w:r>
      <w:r>
        <w:t xml:space="preserve"> für die Rechte und Freiheiten der betroffenen Mitarbeiter darstellt. Die geplanten Abhilfemaßnahmen sollen das Risiko auf ein akzeptables Niveau senken.</w:t>
      </w:r>
    </w:p>
    <w:p>
      <w:pPr>
        <w:jc w:val="left"/>
      </w:pPr>
      <w:r>
        <w:t xml:space="preserve">Die DSFA wird nach Abschluss der Abhilfemaßnahmen (voraussichtlich Herbst 2026) einer </w:t>
      </w:r>
      <w:r>
        <w:rPr>
          <w:b/>
        </w:rPr>
        <w:t>Überprüfung</w:t>
      </w:r>
      <w:r>
        <w:t xml:space="preserve"> unterzogen.</w:t>
      </w:r>
    </w:p>
    <w:p>
      <w:pPr>
        <w:jc w:val="left"/>
      </w:pPr>
      <w:r>
        <w:rPr>
          <w:b/>
        </w:rPr>
        <w:t>Verantwortliche Unterzeichner:</w:t>
      </w:r>
    </w:p>
    <w:p>
      <w:pPr>
        <w:jc w:val="left"/>
      </w:pPr>
      <w:r>
        <w:t>Theresia Wallbruck (Geschäftsführerin, Verantwortlicher i.S.d. DSGVO)</w:t>
      </w:r>
    </w:p>
    <w:p>
      <w:pPr>
        <w:jc w:val="left"/>
      </w:pPr>
      <w:r>
        <w:t>Markus Feilke (Datenschutzbeauftragter)</w:t>
      </w:r>
    </w:p>
    <w:p>
      <w:pPr>
        <w:jc w:val="left"/>
      </w:pPr>
      <w:r>
        <w:t>RA Lukas Drosten (rechtliche Beratung)</w:t>
      </w:r>
    </w:p>
    <w:p>
      <w:pPr>
        <w:jc w:val="left"/>
      </w:pPr>
      <w:r>
        <w:rPr>
          <w:i/>
        </w:rPr>
        <w:t>Mainz, 14.05.2026</w:t>
      </w:r>
    </w:p>
    <w:sectPr w:rsidR="00FC693F" w:rsidRPr="0006063C" w:rsidSect="00034616">
      <w:headerReference w:type="default" r:id="rId9"/>
      <w:footerReference w:type="default" r:id="rId10"/>
      <w:pgSz w:w="11906" w:h="16838"/>
      <w:pgMar w:top="1417" w:right="1417" w:bottom="1417" w:left="1417" w:header="680"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071" w:val="right"/>
      </w:tabs>
      <w:jc w:val="left"/>
    </w:pPr>
    <w:r>
      <w:rPr>
        <w:rFonts w:ascii="Times New Roman" w:hAnsi="Times New Roman"/>
        <w:color w:val="6B6B66"/>
        <w:sz w:val="16"/>
      </w:rPr>
    </w:r>
    <w:r>
      <w:rPr>
        <w:rFonts w:ascii="Times New Roman" w:hAnsi="Times New Roman"/>
        <w:color w:val="6B6B66"/>
        <w:sz w:val="16"/>
      </w:rPr>
      <w:t>Frischetrans Mittelrhein GmbH</w:t>
    </w:r>
    <w:r>
      <w:rPr>
        <w:rFonts w:ascii="Times New Roman" w:hAnsi="Times New Roman"/>
        <w:color w:val="6B6B66"/>
        <w:sz w:val="16"/>
      </w:rPr>
      <w:tab/>
      <w:t xml:space="preserve">Seite </w:t>
    </w:r>
    <w:r>
      <w:rPr>
        <w:rFonts w:ascii="Times New Roman" w:hAnsi="Times New Roman"/>
        <w:color w:val="6B6B66"/>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color w:val="11555F"/>
        <w:sz w:val="24"/>
      </w:rPr>
      <w:t>Frischetrans Mittelrhein GmbH</w:t>
    </w:r>
  </w:p>
  <w:p>
    <w:pPr>
      <w:jc w:val="left"/>
      <w:pBdr>
        <w:bottom w:val="single" w:sz="6" w:space="2" w:color="11555F"/>
      </w:pBdr>
    </w:pPr>
    <w:r>
      <w:rPr>
        <w:rFonts w:ascii="Times New Roman" w:hAnsi="Times New Roman"/>
        <w:color w:val="6B6B66"/>
        <w:sz w:val="16"/>
      </w:rPr>
      <w:t>Unternehmen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