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Pressemitteilung — Entwurf (Kanzlei-Freigabe: 13.05.2026)</w:t>
      </w:r>
    </w:p>
    <w:p>
      <w:pPr>
        <w:jc w:val="left"/>
      </w:pPr>
      <w:r>
        <w:rPr>
          <w:b/>
        </w:rPr>
        <w:t>Aktenstück:</w:t>
      </w:r>
      <w:r>
        <w:t xml:space="preserve"> 19</w:t>
      </w:r>
    </w:p>
    <w:p>
      <w:pPr>
        <w:jc w:val="left"/>
      </w:pPr>
      <w:r>
        <w:rPr>
          <w:b/>
        </w:rPr>
        <w:t>Status:</w:t>
      </w:r>
      <w:r>
        <w:t xml:space="preserve"> Entwurf — freigegeben durch RA Drosten am 13.05.2026; Veröffentlichung nach Zustimmung Mandantin</w:t>
      </w:r>
    </w:p>
    <w:p>
      <w:pPr>
        <w:jc w:val="left"/>
      </w:pPr>
      <w:r>
        <w:rPr>
          <w:b/>
        </w:rPr>
        <w:t>Veröffentlichung geplant:</w:t>
      </w:r>
      <w:r>
        <w:t xml:space="preserve"> Nach Rücksprache mit CyberCovered AG und LfDI RLP, frühestens 15.05.2026</w:t>
      </w:r>
    </w:p>
    <w:p>
      <w:pPr>
        <w:jc w:val="left"/>
      </w:pPr>
      <w:r>
        <w:rPr>
          <w:b/>
        </w:rPr>
        <w:t>Verteilung:</w:t>
      </w:r>
      <w:r>
        <w:t xml:space="preserve"> dpa-Basisdienst, lokale Medien (Allgemeine Zeitung Mainz, Rhein-Zeitung), Branchenmedien (Lebensmittel Zeitung, Verkehrsrundschau)</w:t>
      </w:r>
    </w:p>
    <w:p/>
    <w:p>
      <w:pPr>
        <w:pStyle w:val="Heading2"/>
      </w:pPr>
      <w:r>
        <w:rPr>
          <w:rFonts w:ascii="Times New Roman" w:hAnsi="Times New Roman"/>
        </w:rPr>
        <w:t>Interne Vorbemerkung (nicht für Veröffentlichung)</w:t>
      </w:r>
    </w:p>
    <w:p>
      <w:pPr>
        <w:jc w:val="left"/>
      </w:pPr>
      <w:r>
        <w:t>Dieser Entwurf wurde von RA Drosten in enger Abstimmung mit Geschäftsführerin Wallbruck und der Presseagentur PR-Rhein GmbH (Mainz) erarbeitet. Die Pressemitteilung soll:</w:t>
      </w:r>
    </w:p>
    <w:p>
      <w:pPr>
        <w:pStyle w:val="ListNumber"/>
      </w:pPr>
      <w:r>
        <w:t>Den Vorfall proaktiv kommunizieren, bevor Medien durch andere Quellen (ZAC, LfDI, Datenlecks) informiert werden</w:t>
      </w:r>
    </w:p>
    <w:p>
      <w:pPr>
        <w:pStyle w:val="ListNumber"/>
      </w:pPr>
      <w:r>
        <w:t>Vertrauen in die Handlungsfähigkeit des Unternehmens signalisieren</w:t>
      </w:r>
    </w:p>
    <w:p>
      <w:pPr>
        <w:pStyle w:val="ListNumber"/>
      </w:pPr>
      <w:r>
        <w:t>Rechtlich keine unnötigen Haftungseingeständnisse enthalten</w:t>
      </w:r>
    </w:p>
    <w:p>
      <w:pPr>
        <w:pStyle w:val="ListNumber"/>
      </w:pPr>
      <w:r>
        <w:t>Keine Namen von Mitarbeitern oder Kunden nennen</w:t>
      </w:r>
    </w:p>
    <w:p>
      <w:pPr>
        <w:jc w:val="left"/>
      </w:pPr>
      <w:r>
        <w:t xml:space="preserve">Freigabe durch Kanzlei: </w:t>
      </w:r>
      <w:r>
        <w:rPr>
          <w:b/>
        </w:rPr>
        <w:t>Ja</w:t>
      </w:r>
      <w:r>
        <w:t xml:space="preserve"> (RA Drosten, 13.05.2026)</w:t>
      </w:r>
    </w:p>
    <w:p>
      <w:pPr>
        <w:jc w:val="left"/>
      </w:pPr>
      <w:r>
        <w:t xml:space="preserve">Freigabe durch Mandantin: </w:t>
      </w:r>
      <w:r>
        <w:rPr>
          <w:b/>
        </w:rPr>
        <w:t>Ausstehend</w:t>
      </w:r>
    </w:p>
    <w:p>
      <w:pPr>
        <w:jc w:val="left"/>
      </w:pPr>
      <w:r>
        <w:t xml:space="preserve">Freigabe durch CyberCovered AG: </w:t>
      </w:r>
      <w:r>
        <w:rPr>
          <w:b/>
        </w:rPr>
        <w:t>Ausstehend</w:t>
      </w:r>
    </w:p>
    <w:p/>
    <w:p>
      <w:pPr>
        <w:pStyle w:val="Heading2"/>
      </w:pPr>
      <w:r>
        <w:rPr>
          <w:rFonts w:ascii="Times New Roman" w:hAnsi="Times New Roman"/>
        </w:rPr>
        <w:t>Pressemitteilung</w:t>
      </w:r>
    </w:p>
    <w:p>
      <w:pPr>
        <w:jc w:val="left"/>
      </w:pPr>
      <w:r>
        <w:rPr>
          <w:b/>
        </w:rPr>
        <w:t>PRESSEMITTEILUNG</w:t>
      </w:r>
    </w:p>
    <w:p>
      <w:pPr>
        <w:jc w:val="left"/>
      </w:pPr>
      <w:r>
        <w:rPr>
          <w:b/>
        </w:rPr>
        <w:t>Frischetrans Mittelrhein GmbH</w:t>
      </w:r>
    </w:p>
    <w:p>
      <w:pPr>
        <w:jc w:val="left"/>
      </w:pPr>
      <w:r>
        <w:t>Binger Straße 142 · 55131 Mainz</w:t>
      </w:r>
    </w:p>
    <w:p>
      <w:pPr>
        <w:jc w:val="left"/>
      </w:pPr>
      <w:r>
        <w:t>Kontakt Presse: pr@frischetrans-mittelrhein.de · +49 6131 8820-140</w:t>
      </w:r>
    </w:p>
    <w:p>
      <w:pPr>
        <w:jc w:val="left"/>
      </w:pPr>
      <w:r>
        <w:rPr>
          <w:b/>
        </w:rPr>
        <w:t>Mainz, [DATUM EINSETZEN]</w:t>
      </w:r>
    </w:p>
    <w:p/>
    <w:p>
      <w:pPr>
        <w:jc w:val="left"/>
      </w:pPr>
      <w:r>
        <w:rPr>
          <w:b/>
        </w:rPr>
        <w:t>Frischetrans Mittelrhein GmbH war Opfer eines Cyberangriffs — umfassende Maßnahmen eingeleitet</w:t>
      </w:r>
    </w:p>
    <w:p>
      <w:pPr>
        <w:jc w:val="left"/>
      </w:pPr>
      <w:r>
        <w:t>Die Frischetrans Mittelrhein GmbH, ein führender Anbieter von B2B-Frischelogistik für die Lebensmittelbranche mit Sitz in Mainz, bestätigt, dass das Unternehmen Anfang Mai 2026 Ziel eines schwerwiegenden Ransomware-Angriffs geworden ist.</w:t>
      </w:r>
    </w:p>
    <w:p>
      <w:pPr>
        <w:jc w:val="left"/>
      </w:pPr>
      <w:r>
        <w:rPr>
          <w:b/>
        </w:rPr>
        <w:t>Was ist passiert?</w:t>
      </w:r>
    </w:p>
    <w:p>
      <w:pPr>
        <w:jc w:val="left"/>
      </w:pPr>
      <w:r>
        <w:t>In der Nacht vom 5. auf den 6. Mai 2026 haben unbekannte Täter die IT-Infrastruktur von Frischetrans mit einer Schadsoftware infiziert. Dabei wurden Teile des IT-Systems verschlüsselt und eine Datenmenge aus dem internen Netzwerk entwendet. Die betroffenen Systeme konnten inzwischen zu weiten Teilen aus gesicherten Datensicherungen wiederhergestellt werden.</w:t>
      </w:r>
    </w:p>
    <w:p>
      <w:pPr>
        <w:jc w:val="left"/>
      </w:pPr>
      <w:r>
        <w:rPr>
          <w:b/>
        </w:rPr>
        <w:t>Sofortige Maßnahmen</w:t>
      </w:r>
    </w:p>
    <w:p>
      <w:pPr>
        <w:jc w:val="left"/>
      </w:pPr>
      <w:r>
        <w:t>Das Unternehmen hat unmittelbar nach Bekanntwerden des Angriffs folgende Schritte eingeleitet:</w:t>
      </w:r>
    </w:p>
    <w:p>
      <w:pPr>
        <w:pStyle w:val="ListBullet"/>
      </w:pPr>
      <w:r>
        <w:t>Notfallabschaltung der betroffenen IT-Systeme</w:t>
      </w:r>
    </w:p>
    <w:p>
      <w:pPr>
        <w:pStyle w:val="ListBullet"/>
      </w:pPr>
      <w:r>
        <w:t>Beauftragung eines spezialisierten Cyber-Sicherheitsunternehmens zur forensischen Analyse</w:t>
      </w:r>
    </w:p>
    <w:p>
      <w:pPr>
        <w:pStyle w:val="ListBullet"/>
      </w:pPr>
      <w:r>
        <w:t>Erstattung einer Strafanzeige bei der Kriminalpolizei Mainz</w:t>
      </w:r>
    </w:p>
    <w:p>
      <w:pPr>
        <w:pStyle w:val="ListBullet"/>
      </w:pPr>
      <w:r>
        <w:t>Information aller zuständigen Behörden, einschließlich des Bundesamtes für Sicherheit in der Informationstechnik (BSI) und des Landesbeauftragten für den Datenschutz Rheinland-Pfalz</w:t>
      </w:r>
    </w:p>
    <w:p>
      <w:pPr>
        <w:jc w:val="left"/>
      </w:pPr>
      <w:r>
        <w:rPr>
          <w:b/>
        </w:rPr>
        <w:t>Auswirkungen auf den Betrieb</w:t>
      </w:r>
    </w:p>
    <w:p>
      <w:pPr>
        <w:jc w:val="left"/>
      </w:pPr>
      <w:r>
        <w:t>Der Betrieb von Frischetrans war vorübergehend eingeschränkt. Kundenlieferungen, die in den ersten Tagen nach dem Vorfall betroffen waren, wurden so weit wie möglich durch manuelle Planung und engsten Kundenkontakt kompensiert. Seit dem [DATUM] ist der Betrieb wieder vollständig aufgenommen.</w:t>
      </w:r>
    </w:p>
    <w:p>
      <w:pPr>
        <w:jc w:val="left"/>
      </w:pPr>
      <w:r>
        <w:rPr>
          <w:b/>
        </w:rPr>
        <w:t>Datenschutz</w:t>
      </w:r>
    </w:p>
    <w:p>
      <w:pPr>
        <w:jc w:val="left"/>
      </w:pPr>
      <w:r>
        <w:t>Aus Vorsichtsgründen hat Frischetrans betroffene Mitarbeiter sowie betroffene Geschäftspartner bereits persönlich und vertraulich informiert. Wir nehmen den Schutz personenbezogener Daten sehr ernst und arbeiten eng mit den Datenschutzbehörden zusammen.</w:t>
      </w:r>
    </w:p>
    <w:p>
      <w:pPr>
        <w:jc w:val="left"/>
      </w:pPr>
      <w:r>
        <w:rPr>
          <w:b/>
        </w:rPr>
        <w:t>Kein Lösegeld</w:t>
      </w:r>
    </w:p>
    <w:p>
      <w:pPr>
        <w:jc w:val="left"/>
      </w:pPr>
      <w:r>
        <w:t>Frischetrans hat — in Übereinstimmung mit den Empfehlungen der Sicherheitsbehörden und seiner Anwälte — keine Lösegeldzahlung geleistet.</w:t>
      </w:r>
    </w:p>
    <w:p>
      <w:pPr>
        <w:jc w:val="left"/>
      </w:pPr>
      <w:r>
        <w:rPr>
          <w:b/>
        </w:rPr>
        <w:t>Statement der Geschäftsführerin</w:t>
      </w:r>
    </w:p>
    <w:p>
      <w:pPr>
        <w:jc w:val="left"/>
      </w:pPr>
      <w:r>
        <w:t xml:space="preserve">Theresia Wallbruck, Geschäftsführerin von Frischetrans Mittelrhein GmbH: </w:t>
      </w:r>
      <w:r>
        <w:rPr>
          <w:i/>
        </w:rPr>
        <w:t>„Dieser Angriff hat uns getroffen wie alle anderen Unternehmen, die täglich mit ihren Systemen arbeiten. Wir haben sofort gehandelt, alle Behörden informiert und tun alles, um unsere Mitarbeiter, unsere Kunden und unsere Geschäftspartner zu schützen. Frischetrans ist wieder voll einsatzbereit, und wir werden gestärkt aus dieser Krise hervorgehen."</w:t>
      </w:r>
    </w:p>
    <w:p>
      <w:pPr>
        <w:jc w:val="left"/>
      </w:pPr>
      <w:r>
        <w:rPr>
          <w:b/>
        </w:rPr>
        <w:t>Über Frischetrans Mittelrhein GmbH</w:t>
      </w:r>
    </w:p>
    <w:p>
      <w:pPr>
        <w:jc w:val="left"/>
      </w:pPr>
      <w:r>
        <w:t>Frischetrans Mittelrhein GmbH ist ein führender Anbieter von B2B-Frischelogistik mit Sitz in Mainz. Mit 280 Mitarbeitern und einem Fuhrpark von 64 Fahrzeugen beliefert Frischetrans täglich Großbäckereien, Lebensmittelketten und gastronomische Betriebe in der Rhein-Main-Neckar-Region.</w:t>
      </w:r>
    </w:p>
    <w:p/>
    <w:p>
      <w:pPr>
        <w:jc w:val="left"/>
      </w:pPr>
      <w:r>
        <w:rPr>
          <w:b/>
        </w:rPr>
        <w:t>Pressekontakt:</w:t>
      </w:r>
    </w:p>
    <w:p>
      <w:pPr>
        <w:jc w:val="left"/>
      </w:pPr>
      <w:r>
        <w:t>PR-Rhein GmbH im Auftrag der Frischetrans Mittelrhein GmbH</w:t>
      </w:r>
    </w:p>
    <w:p>
      <w:pPr>
        <w:jc w:val="left"/>
      </w:pPr>
      <w:r>
        <w:t>Telefon: +49 6131 8820-140</w:t>
      </w:r>
    </w:p>
    <w:p>
      <w:pPr>
        <w:jc w:val="left"/>
      </w:pPr>
      <w:r>
        <w:t>E-Mail: pr@frischetrans-mittelrhein.de</w:t>
      </w:r>
    </w:p>
    <w:p/>
    <w:p>
      <w:pPr>
        <w:pStyle w:val="Heading2"/>
      </w:pPr>
      <w:r>
        <w:rPr>
          <w:rFonts w:ascii="Times New Roman" w:hAnsi="Times New Roman"/>
        </w:rPr>
        <w:t>Anmerkungen der Kanzlei zur Pressemitteilung</w:t>
      </w:r>
    </w:p>
    <w:p>
      <w:pPr>
        <w:jc w:val="left"/>
      </w:pPr>
      <w:r>
        <w:rPr>
          <w:b/>
        </w:rPr>
        <w:t>Bewusste Auslassungen:</w:t>
      </w:r>
    </w:p>
    <w:p>
      <w:pPr>
        <w:pStyle w:val="ListNumber"/>
      </w:pPr>
      <w:r>
        <w:t>Keine Nennung der Erpressersumme — würde unnötige Spekulationen anregen</w:t>
      </w:r>
    </w:p>
    <w:p>
      <w:pPr>
        <w:pStyle w:val="ListNumber"/>
      </w:pPr>
      <w:r>
        <w:t>Kein Verweis auf ProcessSpark und CVE-2026-0712 — laufende rechtliche Auseinandersetzung</w:t>
      </w:r>
    </w:p>
    <w:p>
      <w:pPr>
        <w:pStyle w:val="ListNumber"/>
      </w:pPr>
      <w:r>
        <w:t>Kein Verweis auf konkrete Anzahl betroffener Personen — vermeidet Anreizsetzung für Ansprüche</w:t>
      </w:r>
    </w:p>
    <w:p>
      <w:pPr>
        <w:pStyle w:val="ListNumber"/>
      </w:pPr>
      <w:r>
        <w:t>Kein Verweis auf AGPL-Audit oder KI-VO-Problematik — keine Verknüpfung mit dem Ransomware-Vorfall</w:t>
      </w:r>
    </w:p>
    <w:p>
      <w:pPr>
        <w:jc w:val="left"/>
      </w:pPr>
      <w:r>
        <w:rPr>
          <w:b/>
        </w:rPr>
        <w:t>Rechtliche Klarstellungen:</w:t>
      </w:r>
    </w:p>
    <w:p>
      <w:pPr>
        <w:pStyle w:val="ListBullet"/>
      </w:pPr>
      <w:r>
        <w:t>Aussage „sofort gehandelt" ist korrekt und belegt</w:t>
      </w:r>
    </w:p>
    <w:p>
      <w:pPr>
        <w:pStyle w:val="ListBullet"/>
      </w:pPr>
      <w:r>
        <w:t>Statement Wallbruck ist juristisch geprüft — keine Haftungseingeständnisse</w:t>
      </w:r>
    </w:p>
    <w:p>
      <w:pPr>
        <w:pStyle w:val="ListBullet"/>
      </w:pPr>
      <w:r>
        <w:t>Begriffe „betroffen" statt „verletzt" oder „gestohlen" — bewusst weniger dramatisch</w:t>
      </w:r>
    </w:p>
    <w:p>
      <w:pPr>
        <w:jc w:val="left"/>
      </w:pPr>
      <w:r>
        <w:rPr>
          <w:b/>
        </w:rPr>
        <w:t>Freigabe-Checkliste:</w:t>
      </w:r>
    </w:p>
    <w:p>
      <w:pPr>
        <w:pStyle w:val="ListBullet"/>
      </w:pPr>
      <w:r>
        <w:t>[ ] Freigabe durch GF Wallbruck</w:t>
      </w:r>
    </w:p>
    <w:p>
      <w:pPr>
        <w:pStyle w:val="ListBullet"/>
      </w:pPr>
      <w:r>
        <w:t>[ ] Freigabe CyberCovered AG (Presseabteilung)</w:t>
      </w:r>
    </w:p>
    <w:p>
      <w:pPr>
        <w:pStyle w:val="ListBullet"/>
      </w:pPr>
      <w:r>
        <w:t>[ ] Abstimmung mit LfDI RLP (Timing — Behörde soll nicht überrascht werden)</w:t>
      </w:r>
    </w:p>
    <w:p>
      <w:pPr>
        <w:pStyle w:val="ListBullet"/>
      </w:pPr>
      <w:r>
        <w:t>[ ] ZAC Mainz informiert über geplante Veröffentlichung</w:t>
      </w:r>
    </w:p>
    <w:p>
      <w:pPr>
        <w:pStyle w:val="ListBullet"/>
      </w:pPr>
      <w:r>
        <w:t>[ ] Abstimmung Erscheinungsdatum mit PR-Rhein GmbH</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CyberCovered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CyberCovered AG</w:t>
    </w:r>
  </w:p>
  <w:p>
    <w:pPr>
      <w:jc w:val="left"/>
      <w:pBdr>
        <w:bottom w:val="single" w:sz="6" w:space="2" w:color="7B2D3B"/>
      </w:pBdr>
    </w:pPr>
    <w:r>
      <w:rPr>
        <w:rFonts w:ascii="Times New Roman" w:hAnsi="Times New Roman"/>
        <w:color w:val="6B6B66"/>
        <w:sz w:val="16"/>
      </w:rPr>
      <w:t>frühestens 15.05.2026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