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Kostenrisiko und Streitwertanalyse</w:t>
      </w:r>
    </w:p>
    <w:p>
      <w:pPr>
        <w:jc w:val="left"/>
      </w:pPr>
      <w:r>
        <w:rPr>
          <w:b/>
        </w:rPr>
        <w:t>Aktenstück:</w:t>
      </w:r>
      <w:r>
        <w:t xml:space="preserve"> 21</w:t>
      </w:r>
    </w:p>
    <w:p>
      <w:pPr>
        <w:jc w:val="left"/>
      </w:pPr>
      <w:r>
        <w:rPr>
          <w:b/>
        </w:rPr>
        <w:t>Datum:</w:t>
      </w:r>
      <w:r>
        <w:t xml:space="preserve"> 13.05.2026</w:t>
      </w:r>
    </w:p>
    <w:p>
      <w:pPr>
        <w:jc w:val="left"/>
      </w:pPr>
      <w:r>
        <w:rPr>
          <w:b/>
        </w:rPr>
        <w:t>Mandantin:</w:t>
      </w:r>
      <w:r>
        <w:t xml:space="preserve"> Frischetrans Mittelrhein GmbH</w:t>
      </w:r>
    </w:p>
    <w:p>
      <w:pPr>
        <w:jc w:val="left"/>
      </w:pPr>
      <w:r>
        <w:rPr>
          <w:b/>
        </w:rPr>
        <w:t>Bearbeiter:</w:t>
      </w:r>
      <w:r>
        <w:t xml:space="preserve"> RA Lukas Drosten, Fachanwalt für IT-Recht</w:t>
      </w:r>
    </w:p>
    <w:p/>
    <w:p>
      <w:pPr>
        <w:pStyle w:val="Heading2"/>
      </w:pPr>
      <w:r>
        <w:rPr>
          <w:rFonts w:ascii="Times New Roman" w:hAnsi="Times New Roman"/>
        </w:rPr>
        <w:t>1. Überblick Kostenrisiko-Matrix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Komplex</w:t>
            </w:r>
          </w:p>
        </w:tc>
        <w:tc>
          <w:tcPr>
            <w:tcW w:type="dxa" w:w="2268"/>
          </w:tcPr>
          <w:p>
            <w:r>
              <w:rPr>
                <w:rFonts w:ascii="Times New Roman" w:hAnsi="Times New Roman"/>
                <w:b/>
                <w:sz w:val="20"/>
              </w:rPr>
              <w:t>Streitwert / Bußgeld</w:t>
            </w:r>
          </w:p>
        </w:tc>
        <w:tc>
          <w:tcPr>
            <w:tcW w:type="dxa" w:w="2268"/>
          </w:tcPr>
          <w:p>
            <w:r>
              <w:rPr>
                <w:rFonts w:ascii="Times New Roman" w:hAnsi="Times New Roman"/>
                <w:b/>
                <w:sz w:val="20"/>
              </w:rPr>
              <w:t>Prozesswahrscheinlichkeit</w:t>
            </w:r>
          </w:p>
        </w:tc>
        <w:tc>
          <w:tcPr>
            <w:tcW w:type="dxa" w:w="2268"/>
          </w:tcPr>
          <w:p>
            <w:r>
              <w:rPr>
                <w:rFonts w:ascii="Times New Roman" w:hAnsi="Times New Roman"/>
                <w:b/>
                <w:sz w:val="20"/>
              </w:rPr>
              <w:t>Erwartetes Kostenrisiko</w:t>
            </w:r>
          </w:p>
        </w:tc>
      </w:tr>
      <w:tr>
        <w:tc>
          <w:tcPr>
            <w:tcW w:type="dxa" w:w="2268"/>
          </w:tcPr>
          <w:p>
            <w:r>
              <w:rPr>
                <w:rFonts w:ascii="Times New Roman" w:hAnsi="Times New Roman"/>
                <w:sz w:val="20"/>
              </w:rPr>
              <w:t>A. ProcessSpark-Klage (LG Mainz)</w:t>
            </w:r>
          </w:p>
        </w:tc>
        <w:tc>
          <w:tcPr>
            <w:tcW w:type="dxa" w:w="2268"/>
          </w:tcPr>
          <w:p>
            <w:r>
              <w:rPr>
                <w:rFonts w:ascii="Times New Roman" w:hAnsi="Times New Roman"/>
                <w:sz w:val="20"/>
              </w:rPr>
              <w:t>681.818 EUR</w:t>
            </w:r>
          </w:p>
        </w:tc>
        <w:tc>
          <w:tcPr>
            <w:tcW w:type="dxa" w:w="2268"/>
          </w:tcPr>
          <w:p>
            <w:r>
              <w:rPr>
                <w:rFonts w:ascii="Times New Roman" w:hAnsi="Times New Roman"/>
                <w:sz w:val="20"/>
              </w:rPr>
              <w:t>Hoch (falls keine Einigung)</w:t>
            </w:r>
          </w:p>
        </w:tc>
        <w:tc>
          <w:tcPr>
            <w:tcW w:type="dxa" w:w="2268"/>
          </w:tcPr>
          <w:p>
            <w:r>
              <w:rPr>
                <w:rFonts w:ascii="Times New Roman" w:hAnsi="Times New Roman"/>
                <w:sz w:val="20"/>
              </w:rPr>
              <w:t>35.000–55.000 EUR Prozesskosten (1. Instanz)</w:t>
            </w:r>
          </w:p>
        </w:tc>
      </w:tr>
      <w:tr>
        <w:tc>
          <w:tcPr>
            <w:tcW w:type="dxa" w:w="2268"/>
          </w:tcPr>
          <w:p>
            <w:r>
              <w:rPr>
                <w:rFonts w:ascii="Times New Roman" w:hAnsi="Times New Roman"/>
                <w:sz w:val="20"/>
              </w:rPr>
              <w:t>B. DSGVO-Bußgeld LfDI RLP</w:t>
            </w:r>
          </w:p>
        </w:tc>
        <w:tc>
          <w:tcPr>
            <w:tcW w:type="dxa" w:w="2268"/>
          </w:tcPr>
          <w:p>
            <w:r>
              <w:rPr>
                <w:rFonts w:ascii="Times New Roman" w:hAnsi="Times New Roman"/>
                <w:sz w:val="20"/>
              </w:rPr>
              <w:t>bis 350.000 EUR</w:t>
            </w:r>
          </w:p>
        </w:tc>
        <w:tc>
          <w:tcPr>
            <w:tcW w:type="dxa" w:w="2268"/>
          </w:tcPr>
          <w:p>
            <w:r>
              <w:rPr>
                <w:rFonts w:ascii="Times New Roman" w:hAnsi="Times New Roman"/>
                <w:sz w:val="20"/>
              </w:rPr>
              <w:t>Mittel</w:t>
            </w:r>
          </w:p>
        </w:tc>
        <w:tc>
          <w:tcPr>
            <w:tcW w:type="dxa" w:w="2268"/>
          </w:tcPr>
          <w:p>
            <w:r>
              <w:rPr>
                <w:rFonts w:ascii="Times New Roman" w:hAnsi="Times New Roman"/>
                <w:sz w:val="20"/>
              </w:rPr>
              <w:t>50.000–350.000 EUR</w:t>
            </w:r>
          </w:p>
        </w:tc>
      </w:tr>
      <w:tr>
        <w:tc>
          <w:tcPr>
            <w:tcW w:type="dxa" w:w="2268"/>
          </w:tcPr>
          <w:p>
            <w:r>
              <w:rPr>
                <w:rFonts w:ascii="Times New Roman" w:hAnsi="Times New Roman"/>
                <w:sz w:val="20"/>
              </w:rPr>
              <w:t>C. Kundenforderungen (Frischbäcker AG)</w:t>
            </w:r>
          </w:p>
        </w:tc>
        <w:tc>
          <w:tcPr>
            <w:tcW w:type="dxa" w:w="2268"/>
          </w:tcPr>
          <w:p>
            <w:r>
              <w:rPr>
                <w:rFonts w:ascii="Times New Roman" w:hAnsi="Times New Roman"/>
                <w:sz w:val="20"/>
              </w:rPr>
              <w:t>geschätzt 50.000–150.000 EUR</w:t>
            </w:r>
          </w:p>
        </w:tc>
        <w:tc>
          <w:tcPr>
            <w:tcW w:type="dxa" w:w="2268"/>
          </w:tcPr>
          <w:p>
            <w:r>
              <w:rPr>
                <w:rFonts w:ascii="Times New Roman" w:hAnsi="Times New Roman"/>
                <w:sz w:val="20"/>
              </w:rPr>
              <w:t>Mittel</w:t>
            </w:r>
          </w:p>
        </w:tc>
        <w:tc>
          <w:tcPr>
            <w:tcW w:type="dxa" w:w="2268"/>
          </w:tcPr>
          <w:p>
            <w:r>
              <w:rPr>
                <w:rFonts w:ascii="Times New Roman" w:hAnsi="Times New Roman"/>
                <w:sz w:val="20"/>
              </w:rPr>
              <w:t>20.000–80.000 EUR (ggf. Versicherung)</w:t>
            </w:r>
          </w:p>
        </w:tc>
      </w:tr>
      <w:tr>
        <w:tc>
          <w:tcPr>
            <w:tcW w:type="dxa" w:w="2268"/>
          </w:tcPr>
          <w:p>
            <w:r>
              <w:rPr>
                <w:rFonts w:ascii="Times New Roman" w:hAnsi="Times New Roman"/>
                <w:sz w:val="20"/>
              </w:rPr>
              <w:t>D. KI-VO-Bußgeld (PalettenAuge AI)</w:t>
            </w:r>
          </w:p>
        </w:tc>
        <w:tc>
          <w:tcPr>
            <w:tcW w:type="dxa" w:w="2268"/>
          </w:tcPr>
          <w:p>
            <w:r>
              <w:rPr>
                <w:rFonts w:ascii="Times New Roman" w:hAnsi="Times New Roman"/>
                <w:sz w:val="20"/>
              </w:rPr>
              <w:t>bis 15 Mio. EUR (Art. 99)</w:t>
            </w:r>
          </w:p>
        </w:tc>
        <w:tc>
          <w:tcPr>
            <w:tcW w:type="dxa" w:w="2268"/>
          </w:tcPr>
          <w:p>
            <w:r>
              <w:rPr>
                <w:rFonts w:ascii="Times New Roman" w:hAnsi="Times New Roman"/>
                <w:sz w:val="20"/>
              </w:rPr>
              <w:t>Niedrig</w:t>
            </w:r>
          </w:p>
        </w:tc>
        <w:tc>
          <w:tcPr>
            <w:tcW w:type="dxa" w:w="2268"/>
          </w:tcPr>
          <w:p>
            <w:r>
              <w:rPr>
                <w:rFonts w:ascii="Times New Roman" w:hAnsi="Times New Roman"/>
                <w:sz w:val="20"/>
              </w:rPr>
              <w:t>0–200.000 EUR (KMU-Staffel)</w:t>
            </w:r>
          </w:p>
        </w:tc>
      </w:tr>
      <w:tr>
        <w:tc>
          <w:tcPr>
            <w:tcW w:type="dxa" w:w="2268"/>
          </w:tcPr>
          <w:p>
            <w:r>
              <w:rPr>
                <w:rFonts w:ascii="Times New Roman" w:hAnsi="Times New Roman"/>
                <w:sz w:val="20"/>
              </w:rPr>
              <w:t>E. AGPL-Abmahnung (TourPlanner)</w:t>
            </w:r>
          </w:p>
        </w:tc>
        <w:tc>
          <w:tcPr>
            <w:tcW w:type="dxa" w:w="2268"/>
          </w:tcPr>
          <w:p>
            <w:r>
              <w:rPr>
                <w:rFonts w:ascii="Times New Roman" w:hAnsi="Times New Roman"/>
                <w:sz w:val="20"/>
              </w:rPr>
              <w:t>5.000–50.000 EUR</w:t>
            </w:r>
          </w:p>
        </w:tc>
        <w:tc>
          <w:tcPr>
            <w:tcW w:type="dxa" w:w="2268"/>
          </w:tcPr>
          <w:p>
            <w:r>
              <w:rPr>
                <w:rFonts w:ascii="Times New Roman" w:hAnsi="Times New Roman"/>
                <w:sz w:val="20"/>
              </w:rPr>
              <w:t>Niedrig</w:t>
            </w:r>
          </w:p>
        </w:tc>
        <w:tc>
          <w:tcPr>
            <w:tcW w:type="dxa" w:w="2268"/>
          </w:tcPr>
          <w:p>
            <w:r>
              <w:rPr>
                <w:rFonts w:ascii="Times New Roman" w:hAnsi="Times New Roman"/>
                <w:sz w:val="20"/>
              </w:rPr>
              <w:t>5.000–15.000 EUR</w:t>
            </w:r>
          </w:p>
        </w:tc>
      </w:tr>
      <w:tr>
        <w:tc>
          <w:tcPr>
            <w:tcW w:type="dxa" w:w="2268"/>
          </w:tcPr>
          <w:p>
            <w:r>
              <w:rPr>
                <w:rFonts w:ascii="Times New Roman" w:hAnsi="Times New Roman"/>
                <w:sz w:val="20"/>
              </w:rPr>
              <w:t>F. Eigene Anwaltskosten (Mandat gesamt)</w:t>
            </w:r>
          </w:p>
        </w:tc>
        <w:tc>
          <w:tcPr>
            <w:tcW w:type="dxa" w:w="2268"/>
          </w:tcPr>
          <w:p>
            <w:r>
              <w:rPr>
                <w:rFonts w:ascii="Times New Roman" w:hAnsi="Times New Roman"/>
                <w:sz w:val="20"/>
              </w:rPr>
              <w:t>—</w:t>
            </w:r>
          </w:p>
        </w:tc>
        <w:tc>
          <w:tcPr>
            <w:tcW w:type="dxa" w:w="2268"/>
          </w:tcPr>
          <w:p>
            <w:r>
              <w:rPr>
                <w:rFonts w:ascii="Times New Roman" w:hAnsi="Times New Roman"/>
                <w:sz w:val="20"/>
              </w:rPr>
              <w:t>Sicher</w:t>
            </w:r>
          </w:p>
        </w:tc>
        <w:tc>
          <w:tcPr>
            <w:tcW w:type="dxa" w:w="2268"/>
          </w:tcPr>
          <w:p>
            <w:r>
              <w:rPr>
                <w:rFonts w:ascii="Times New Roman" w:hAnsi="Times New Roman"/>
                <w:sz w:val="20"/>
              </w:rPr>
              <w:t>80.000–150.000 EUR</w:t>
            </w:r>
          </w:p>
        </w:tc>
      </w:tr>
      <w:tr>
        <w:tc>
          <w:tcPr>
            <w:tcW w:type="dxa" w:w="2268"/>
          </w:tcPr>
          <w:p>
            <w:r>
              <w:rPr>
                <w:rFonts w:ascii="Times New Roman" w:hAnsi="Times New Roman"/>
                <w:sz w:val="20"/>
              </w:rPr>
              <w:t>G. IT-Wiederherstellung</w:t>
            </w:r>
          </w:p>
        </w:tc>
        <w:tc>
          <w:tcPr>
            <w:tcW w:type="dxa" w:w="2268"/>
          </w:tcPr>
          <w:p>
            <w:r>
              <w:rPr>
                <w:rFonts w:ascii="Times New Roman" w:hAnsi="Times New Roman"/>
                <w:sz w:val="20"/>
              </w:rPr>
              <w:t>—</w:t>
            </w:r>
          </w:p>
        </w:tc>
        <w:tc>
          <w:tcPr>
            <w:tcW w:type="dxa" w:w="2268"/>
          </w:tcPr>
          <w:p>
            <w:r>
              <w:rPr>
                <w:rFonts w:ascii="Times New Roman" w:hAnsi="Times New Roman"/>
                <w:sz w:val="20"/>
              </w:rPr>
              <w:t>Sicher</w:t>
            </w:r>
          </w:p>
        </w:tc>
        <w:tc>
          <w:tcPr>
            <w:tcW w:type="dxa" w:w="2268"/>
          </w:tcPr>
          <w:p>
            <w:r>
              <w:rPr>
                <w:rFonts w:ascii="Times New Roman" w:hAnsi="Times New Roman"/>
                <w:sz w:val="20"/>
              </w:rPr>
              <w:t>180.000–230.000 EUR</w:t>
            </w:r>
          </w:p>
        </w:tc>
      </w:tr>
      <w:tr>
        <w:tc>
          <w:tcPr>
            <w:tcW w:type="dxa" w:w="2268"/>
          </w:tcPr>
          <w:p>
            <w:r>
              <w:rPr>
                <w:rFonts w:ascii="Times New Roman" w:hAnsi="Times New Roman"/>
                <w:sz w:val="20"/>
              </w:rPr>
              <w:t>H. Forensikkosten</w:t>
            </w:r>
          </w:p>
        </w:tc>
        <w:tc>
          <w:tcPr>
            <w:tcW w:type="dxa" w:w="2268"/>
          </w:tcPr>
          <w:p>
            <w:r>
              <w:rPr>
                <w:rFonts w:ascii="Times New Roman" w:hAnsi="Times New Roman"/>
                <w:sz w:val="20"/>
              </w:rPr>
              <w:t>—</w:t>
            </w:r>
          </w:p>
        </w:tc>
        <w:tc>
          <w:tcPr>
            <w:tcW w:type="dxa" w:w="2268"/>
          </w:tcPr>
          <w:p>
            <w:r>
              <w:rPr>
                <w:rFonts w:ascii="Times New Roman" w:hAnsi="Times New Roman"/>
                <w:sz w:val="20"/>
              </w:rPr>
              <w:t>Sicher</w:t>
            </w:r>
          </w:p>
        </w:tc>
        <w:tc>
          <w:tcPr>
            <w:tcW w:type="dxa" w:w="2268"/>
          </w:tcPr>
          <w:p>
            <w:r>
              <w:rPr>
                <w:rFonts w:ascii="Times New Roman" w:hAnsi="Times New Roman"/>
                <w:sz w:val="20"/>
              </w:rPr>
              <w:t>45.000–65.000 EUR</w:t>
            </w:r>
          </w:p>
        </w:tc>
      </w:tr>
      <w:tr>
        <w:tc>
          <w:tcPr>
            <w:tcW w:type="dxa" w:w="2268"/>
          </w:tcPr>
          <w:p>
            <w:r>
              <w:rPr>
                <w:rFonts w:ascii="Times New Roman" w:hAnsi="Times New Roman"/>
                <w:sz w:val="20"/>
              </w:rPr>
              <w:t>I. Betriebsausfall (nicht versichert, Selbstbehalt)</w:t>
            </w:r>
          </w:p>
        </w:tc>
        <w:tc>
          <w:tcPr>
            <w:tcW w:type="dxa" w:w="2268"/>
          </w:tcPr>
          <w:p>
            <w:r>
              <w:rPr>
                <w:rFonts w:ascii="Times New Roman" w:hAnsi="Times New Roman"/>
                <w:sz w:val="20"/>
              </w:rPr>
              <w:t>—</w:t>
            </w:r>
          </w:p>
        </w:tc>
        <w:tc>
          <w:tcPr>
            <w:tcW w:type="dxa" w:w="2268"/>
          </w:tcPr>
          <w:p>
            <w:r>
              <w:rPr>
                <w:rFonts w:ascii="Times New Roman" w:hAnsi="Times New Roman"/>
                <w:sz w:val="20"/>
              </w:rPr>
              <w:t>Sicher</w:t>
            </w:r>
          </w:p>
        </w:tc>
        <w:tc>
          <w:tcPr>
            <w:tcW w:type="dxa" w:w="2268"/>
          </w:tcPr>
          <w:p>
            <w:r>
              <w:rPr>
                <w:rFonts w:ascii="Times New Roman" w:hAnsi="Times New Roman"/>
                <w:sz w:val="20"/>
              </w:rPr>
              <w:t>25.000 EUR (Selbstbehalt)</w:t>
            </w:r>
          </w:p>
        </w:tc>
      </w:tr>
    </w:tbl>
    <w:p/>
    <w:p>
      <w:pPr>
        <w:pStyle w:val="Heading2"/>
      </w:pPr>
      <w:r>
        <w:rPr>
          <w:rFonts w:ascii="Times New Roman" w:hAnsi="Times New Roman"/>
        </w:rPr>
        <w:t>2. Streitwertanalyse ProcessSpark-Klage (LG Mainz, AZ 3 O 88/26)</w:t>
      </w:r>
    </w:p>
    <w:p>
      <w:pPr>
        <w:pStyle w:val="Heading3"/>
      </w:pPr>
      <w:r>
        <w:rPr>
          <w:rFonts w:ascii="Times New Roman" w:hAnsi="Times New Roman"/>
        </w:rPr>
        <w:t>2.1 Streitwert der Klage</w:t>
      </w:r>
    </w:p>
    <w:p>
      <w:pPr>
        <w:jc w:val="left"/>
      </w:pPr>
      <w:r>
        <w:t>Der Streitwert der geplanten Klage gegen ProcessSpark Cloud AG setzt sich zusammen aus: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Klagepunkt</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Schadensersatz Wiederherstellung IT</w:t>
            </w:r>
          </w:p>
        </w:tc>
        <w:tc>
          <w:tcPr>
            <w:tcW w:type="dxa" w:w="4536"/>
          </w:tcPr>
          <w:p>
            <w:r>
              <w:rPr>
                <w:rFonts w:ascii="Times New Roman" w:hAnsi="Times New Roman"/>
                <w:sz w:val="20"/>
              </w:rPr>
              <w:t>198.500 EUR</w:t>
            </w:r>
          </w:p>
        </w:tc>
      </w:tr>
      <w:tr>
        <w:tc>
          <w:tcPr>
            <w:tcW w:type="dxa" w:w="4536"/>
          </w:tcPr>
          <w:p>
            <w:r>
              <w:rPr>
                <w:rFonts w:ascii="Times New Roman" w:hAnsi="Times New Roman"/>
                <w:sz w:val="20"/>
              </w:rPr>
              <w:t>Schadensersatz Betriebsausfall</w:t>
            </w:r>
          </w:p>
        </w:tc>
        <w:tc>
          <w:tcPr>
            <w:tcW w:type="dxa" w:w="4536"/>
          </w:tcPr>
          <w:p>
            <w:r>
              <w:rPr>
                <w:rFonts w:ascii="Times New Roman" w:hAnsi="Times New Roman"/>
                <w:sz w:val="20"/>
              </w:rPr>
              <w:t>387.200 EUR</w:t>
            </w:r>
          </w:p>
        </w:tc>
      </w:tr>
      <w:tr>
        <w:tc>
          <w:tcPr>
            <w:tcW w:type="dxa" w:w="4536"/>
          </w:tcPr>
          <w:p>
            <w:r>
              <w:rPr>
                <w:rFonts w:ascii="Times New Roman" w:hAnsi="Times New Roman"/>
                <w:sz w:val="20"/>
              </w:rPr>
              <w:t>Schadensersatz Forensik</w:t>
            </w:r>
          </w:p>
        </w:tc>
        <w:tc>
          <w:tcPr>
            <w:tcW w:type="dxa" w:w="4536"/>
          </w:tcPr>
          <w:p>
            <w:r>
              <w:rPr>
                <w:rFonts w:ascii="Times New Roman" w:hAnsi="Times New Roman"/>
                <w:sz w:val="20"/>
              </w:rPr>
              <w:t>52.800 EUR</w:t>
            </w:r>
          </w:p>
        </w:tc>
      </w:tr>
      <w:tr>
        <w:tc>
          <w:tcPr>
            <w:tcW w:type="dxa" w:w="4536"/>
          </w:tcPr>
          <w:p>
            <w:r>
              <w:rPr>
                <w:rFonts w:ascii="Times New Roman" w:hAnsi="Times New Roman"/>
                <w:sz w:val="20"/>
              </w:rPr>
              <w:t>Schadensersatz Anwaltskosten (Teilforderung)</w:t>
            </w:r>
          </w:p>
        </w:tc>
        <w:tc>
          <w:tcPr>
            <w:tcW w:type="dxa" w:w="4536"/>
          </w:tcPr>
          <w:p>
            <w:r>
              <w:rPr>
                <w:rFonts w:ascii="Times New Roman" w:hAnsi="Times New Roman"/>
                <w:sz w:val="20"/>
              </w:rPr>
              <w:t>24.800 EUR</w:t>
            </w:r>
          </w:p>
        </w:tc>
      </w:tr>
      <w:tr>
        <w:tc>
          <w:tcPr>
            <w:tcW w:type="dxa" w:w="4536"/>
          </w:tcPr>
          <w:p>
            <w:r>
              <w:rPr>
                <w:rFonts w:ascii="Times New Roman" w:hAnsi="Times New Roman"/>
                <w:sz w:val="20"/>
              </w:rPr>
              <w:t>Schadensersatz DSGVO-Folgekosten</w:t>
            </w:r>
          </w:p>
        </w:tc>
        <w:tc>
          <w:tcPr>
            <w:tcW w:type="dxa" w:w="4536"/>
          </w:tcPr>
          <w:p>
            <w:r>
              <w:rPr>
                <w:rFonts w:ascii="Times New Roman" w:hAnsi="Times New Roman"/>
                <w:sz w:val="20"/>
              </w:rPr>
              <w:t>18.000 EUR</w:t>
            </w:r>
          </w:p>
        </w:tc>
      </w:tr>
      <w:tr>
        <w:tc>
          <w:tcPr>
            <w:tcW w:type="dxa" w:w="4536"/>
          </w:tcPr>
          <w:p>
            <w:r>
              <w:rPr>
                <w:rFonts w:ascii="Times New Roman" w:hAnsi="Times New Roman"/>
                <w:sz w:val="20"/>
              </w:rPr>
              <w:t>Vertragsstrafe</w:t>
            </w:r>
          </w:p>
        </w:tc>
        <w:tc>
          <w:tcPr>
            <w:tcW w:type="dxa" w:w="4536"/>
          </w:tcPr>
          <w:p>
            <w:r>
              <w:rPr>
                <w:rFonts w:ascii="Times New Roman" w:hAnsi="Times New Roman"/>
                <w:sz w:val="20"/>
              </w:rPr>
              <w:t>518 EUR</w:t>
            </w:r>
          </w:p>
        </w:tc>
      </w:tr>
      <w:tr>
        <w:tc>
          <w:tcPr>
            <w:tcW w:type="dxa" w:w="4536"/>
          </w:tcPr>
          <w:p>
            <w:r>
              <w:rPr>
                <w:rFonts w:ascii="Times New Roman" w:hAnsi="Times New Roman"/>
                <w:b/>
                <w:sz w:val="20"/>
              </w:rPr>
              <w:t>Klagebetrag gesamt (vorläufig)</w:t>
            </w:r>
          </w:p>
        </w:tc>
        <w:tc>
          <w:tcPr>
            <w:tcW w:type="dxa" w:w="4536"/>
          </w:tcPr>
          <w:p>
            <w:r>
              <w:rPr>
                <w:rFonts w:ascii="Times New Roman" w:hAnsi="Times New Roman"/>
                <w:b/>
                <w:sz w:val="20"/>
              </w:rPr>
              <w:t>681.818 EUR</w:t>
            </w:r>
          </w:p>
        </w:tc>
      </w:tr>
    </w:tbl>
    <w:p>
      <w:pPr>
        <w:jc w:val="left"/>
      </w:pPr>
      <w:r>
        <w:t>Vorbehalt: Erhöhung des Klageantrags nach forensischem Abschlussbericht möglich (Streitwert dann ggf. bis 850.000 EUR).</w:t>
      </w:r>
    </w:p>
    <w:p>
      <w:pPr>
        <w:pStyle w:val="Heading3"/>
      </w:pPr>
      <w:r>
        <w:rPr>
          <w:rFonts w:ascii="Times New Roman" w:hAnsi="Times New Roman"/>
        </w:rPr>
        <w:t>2.2 Anwaltskosten (RVG-Berechnung, 1. Instanz LG Mainz)</w:t>
      </w:r>
    </w:p>
    <w:p>
      <w:pPr>
        <w:jc w:val="left"/>
      </w:pPr>
      <w:r>
        <w:rPr>
          <w:b/>
        </w:rPr>
        <w:t>Streitwert:</w:t>
      </w:r>
      <w:r>
        <w:t xml:space="preserve"> 681.818 EUR</w:t>
      </w:r>
    </w:p>
    <w:p>
      <w:pPr>
        <w:jc w:val="left"/>
      </w:pPr>
      <w:r>
        <w:t>Basis: RVG-Vergütungsverzeichnis (VV RVG), Anlage 1</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Gebühr</w:t>
            </w:r>
          </w:p>
        </w:tc>
        <w:tc>
          <w:tcPr>
            <w:tcW w:type="dxa" w:w="2268"/>
          </w:tcPr>
          <w:p>
            <w:r>
              <w:rPr>
                <w:rFonts w:ascii="Times New Roman" w:hAnsi="Times New Roman"/>
                <w:b/>
                <w:sz w:val="20"/>
              </w:rPr>
              <w:t>Multiplier</w:t>
            </w:r>
          </w:p>
        </w:tc>
        <w:tc>
          <w:tcPr>
            <w:tcW w:type="dxa" w:w="2268"/>
          </w:tcPr>
          <w:p>
            <w:r>
              <w:rPr>
                <w:rFonts w:ascii="Times New Roman" w:hAnsi="Times New Roman"/>
                <w:b/>
                <w:sz w:val="20"/>
              </w:rPr>
              <w:t>Berechnungsbasis (Gebühr aus Streitwert)</w:t>
            </w:r>
          </w:p>
        </w:tc>
        <w:tc>
          <w:tcPr>
            <w:tcW w:type="dxa" w:w="2268"/>
          </w:tcPr>
          <w:p>
            <w:r>
              <w:rPr>
                <w:rFonts w:ascii="Times New Roman" w:hAnsi="Times New Roman"/>
                <w:b/>
                <w:sz w:val="20"/>
              </w:rPr>
              <w:t>Betrag</w:t>
            </w:r>
          </w:p>
        </w:tc>
      </w:tr>
      <w:tr>
        <w:tc>
          <w:tcPr>
            <w:tcW w:type="dxa" w:w="2268"/>
          </w:tcPr>
          <w:p>
            <w:r>
              <w:rPr>
                <w:rFonts w:ascii="Times New Roman" w:hAnsi="Times New Roman"/>
                <w:sz w:val="20"/>
              </w:rPr>
              <w:t>1,3-Verfahrensgebühr (Nr. 3100 VV RVG)</w:t>
            </w:r>
          </w:p>
        </w:tc>
        <w:tc>
          <w:tcPr>
            <w:tcW w:type="dxa" w:w="2268"/>
          </w:tcPr>
          <w:p>
            <w:r>
              <w:rPr>
                <w:rFonts w:ascii="Times New Roman" w:hAnsi="Times New Roman"/>
                <w:sz w:val="20"/>
              </w:rPr>
              <w:t>1,3</w:t>
            </w:r>
          </w:p>
        </w:tc>
        <w:tc>
          <w:tcPr>
            <w:tcW w:type="dxa" w:w="2268"/>
          </w:tcPr>
          <w:p>
            <w:r>
              <w:rPr>
                <w:rFonts w:ascii="Times New Roman" w:hAnsi="Times New Roman"/>
                <w:sz w:val="20"/>
              </w:rPr>
              <w:t>Grundgebühr aus 681.818 EUR (= 3.668 EUR)</w:t>
            </w:r>
          </w:p>
        </w:tc>
        <w:tc>
          <w:tcPr>
            <w:tcW w:type="dxa" w:w="2268"/>
          </w:tcPr>
          <w:p>
            <w:r>
              <w:rPr>
                <w:rFonts w:ascii="Times New Roman" w:hAnsi="Times New Roman"/>
                <w:sz w:val="20"/>
              </w:rPr>
              <w:t>4.768,40 EUR</w:t>
            </w:r>
          </w:p>
        </w:tc>
      </w:tr>
      <w:tr>
        <w:tc>
          <w:tcPr>
            <w:tcW w:type="dxa" w:w="2268"/>
          </w:tcPr>
          <w:p>
            <w:r>
              <w:rPr>
                <w:rFonts w:ascii="Times New Roman" w:hAnsi="Times New Roman"/>
                <w:sz w:val="20"/>
              </w:rPr>
              <w:t>1,2-Terminsgebühr (Nr. 3104 VV RVG)</w:t>
            </w:r>
          </w:p>
        </w:tc>
        <w:tc>
          <w:tcPr>
            <w:tcW w:type="dxa" w:w="2268"/>
          </w:tcPr>
          <w:p>
            <w:r>
              <w:rPr>
                <w:rFonts w:ascii="Times New Roman" w:hAnsi="Times New Roman"/>
                <w:sz w:val="20"/>
              </w:rPr>
              <w:t>1,2</w:t>
            </w:r>
          </w:p>
        </w:tc>
        <w:tc>
          <w:tcPr>
            <w:tcW w:type="dxa" w:w="2268"/>
          </w:tcPr>
          <w:p>
            <w:r>
              <w:rPr>
                <w:rFonts w:ascii="Times New Roman" w:hAnsi="Times New Roman"/>
                <w:sz w:val="20"/>
              </w:rPr>
              <w:t>3.668 EUR</w:t>
            </w:r>
          </w:p>
        </w:tc>
        <w:tc>
          <w:tcPr>
            <w:tcW w:type="dxa" w:w="2268"/>
          </w:tcPr>
          <w:p>
            <w:r>
              <w:rPr>
                <w:rFonts w:ascii="Times New Roman" w:hAnsi="Times New Roman"/>
                <w:sz w:val="20"/>
              </w:rPr>
              <w:t>4.401,60 EUR</w:t>
            </w:r>
          </w:p>
        </w:tc>
      </w:tr>
      <w:tr>
        <w:tc>
          <w:tcPr>
            <w:tcW w:type="dxa" w:w="2268"/>
          </w:tcPr>
          <w:p>
            <w:r>
              <w:rPr>
                <w:rFonts w:ascii="Times New Roman" w:hAnsi="Times New Roman"/>
                <w:sz w:val="20"/>
              </w:rPr>
              <w:t>Einigungsgebühr (Nr. 1003 VV RVG, falls Vergleich)</w:t>
            </w:r>
          </w:p>
        </w:tc>
        <w:tc>
          <w:tcPr>
            <w:tcW w:type="dxa" w:w="2268"/>
          </w:tcPr>
          <w:p>
            <w:r>
              <w:rPr>
                <w:rFonts w:ascii="Times New Roman" w:hAnsi="Times New Roman"/>
                <w:sz w:val="20"/>
              </w:rPr>
              <w:t>1,5</w:t>
            </w:r>
          </w:p>
        </w:tc>
        <w:tc>
          <w:tcPr>
            <w:tcW w:type="dxa" w:w="2268"/>
          </w:tcPr>
          <w:p>
            <w:r>
              <w:rPr>
                <w:rFonts w:ascii="Times New Roman" w:hAnsi="Times New Roman"/>
                <w:sz w:val="20"/>
              </w:rPr>
              <w:t>3.668 EUR</w:t>
            </w:r>
          </w:p>
        </w:tc>
        <w:tc>
          <w:tcPr>
            <w:tcW w:type="dxa" w:w="2268"/>
          </w:tcPr>
          <w:p>
            <w:r>
              <w:rPr>
                <w:rFonts w:ascii="Times New Roman" w:hAnsi="Times New Roman"/>
                <w:sz w:val="20"/>
              </w:rPr>
              <w:t>5.502 EUR</w:t>
            </w:r>
          </w:p>
        </w:tc>
      </w:tr>
      <w:tr>
        <w:tc>
          <w:tcPr>
            <w:tcW w:type="dxa" w:w="2268"/>
          </w:tcPr>
          <w:p>
            <w:r>
              <w:rPr>
                <w:rFonts w:ascii="Times New Roman" w:hAnsi="Times New Roman"/>
                <w:sz w:val="20"/>
              </w:rPr>
              <w:t>Post/Telekommunikationspauschale</w:t>
            </w:r>
          </w:p>
        </w:tc>
        <w:tc>
          <w:tcPr>
            <w:tcW w:type="dxa" w:w="2268"/>
          </w:tcPr>
          <w:p>
            <w:r>
              <w:rPr>
                <w:rFonts w:ascii="Times New Roman" w:hAnsi="Times New Roman"/>
                <w:sz w:val="20"/>
              </w:rPr>
              <w:t>—</w:t>
            </w:r>
          </w:p>
        </w:tc>
        <w:tc>
          <w:tcPr>
            <w:tcW w:type="dxa" w:w="2268"/>
          </w:tcPr>
          <w:p>
            <w:r>
              <w:rPr>
                <w:rFonts w:ascii="Times New Roman" w:hAnsi="Times New Roman"/>
                <w:sz w:val="20"/>
              </w:rPr>
              <w:t>20 EUR je</w:t>
            </w:r>
          </w:p>
        </w:tc>
        <w:tc>
          <w:tcPr>
            <w:tcW w:type="dxa" w:w="2268"/>
          </w:tcPr>
          <w:p>
            <w:r>
              <w:rPr>
                <w:rFonts w:ascii="Times New Roman" w:hAnsi="Times New Roman"/>
                <w:sz w:val="20"/>
              </w:rPr>
              <w:t>20 EUR</w:t>
            </w:r>
          </w:p>
        </w:tc>
      </w:tr>
      <w:tr>
        <w:tc>
          <w:tcPr>
            <w:tcW w:type="dxa" w:w="2268"/>
          </w:tcPr>
          <w:p>
            <w:r>
              <w:rPr>
                <w:rFonts w:ascii="Times New Roman" w:hAnsi="Times New Roman"/>
                <w:b/>
                <w:sz w:val="20"/>
              </w:rPr>
              <w:t>Gesamtgebühren RA (ca., ohne USt.)</w:t>
            </w:r>
          </w:p>
        </w:tc>
        <w:tc>
          <w:tcPr>
            <w:tcW w:type="dxa" w:w="2268"/>
          </w:tcPr>
          <w:p/>
        </w:tc>
        <w:tc>
          <w:tcPr>
            <w:tcW w:type="dxa" w:w="2268"/>
          </w:tcPr>
          <w:p/>
        </w:tc>
        <w:tc>
          <w:tcPr>
            <w:tcW w:type="dxa" w:w="2268"/>
          </w:tcPr>
          <w:p>
            <w:r>
              <w:rPr>
                <w:rFonts w:ascii="Times New Roman" w:hAnsi="Times New Roman"/>
                <w:b/>
                <w:sz w:val="20"/>
              </w:rPr>
              <w:t>ca. 14.000–16.000 EUR</w:t>
            </w:r>
          </w:p>
        </w:tc>
      </w:tr>
    </w:tbl>
    <w:p>
      <w:pPr>
        <w:jc w:val="left"/>
      </w:pPr>
      <w:r>
        <w:rPr>
          <w:b/>
        </w:rPr>
        <w:t>Hinweis:</w:t>
      </w:r>
      <w:r>
        <w:t xml:space="preserve"> Die eigenen Anwaltsgebühren der Mandantin sind im Unterliegensfall von ProcessSpark zu erstatten (§ 91 ZPO), im eigenen Unterlegensfall selbst zu tragen.</w:t>
      </w:r>
    </w:p>
    <w:p>
      <w:pPr>
        <w:jc w:val="left"/>
      </w:pPr>
      <w:r>
        <w:rPr>
          <w:b/>
        </w:rPr>
        <w:t>Gerichtskosten (GKG):</w:t>
      </w:r>
    </w:p>
    <w:p>
      <w:pPr>
        <w:jc w:val="left"/>
      </w:pPr>
      <w:r>
        <w:t>Bei einem Streitwert von 681.818 EUR: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(geschätzt)</w:t>
            </w:r>
          </w:p>
        </w:tc>
      </w:tr>
      <w:tr>
        <w:tc>
          <w:tcPr>
            <w:tcW w:type="dxa" w:w="4536"/>
          </w:tcPr>
          <w:p>
            <w:r>
              <w:rPr>
                <w:rFonts w:ascii="Times New Roman" w:hAnsi="Times New Roman"/>
                <w:sz w:val="20"/>
              </w:rPr>
              <w:t>3,0-fache Gerichtsgebühr (GKG Anlage 1, Klage streitig)</w:t>
            </w:r>
          </w:p>
        </w:tc>
        <w:tc>
          <w:tcPr>
            <w:tcW w:type="dxa" w:w="4536"/>
          </w:tcPr>
          <w:p>
            <w:r>
              <w:rPr>
                <w:rFonts w:ascii="Times New Roman" w:hAnsi="Times New Roman"/>
                <w:sz w:val="20"/>
              </w:rPr>
              <w:t>ca. 10.500 EUR</w:t>
            </w:r>
          </w:p>
        </w:tc>
      </w:tr>
      <w:tr>
        <w:tc>
          <w:tcPr>
            <w:tcW w:type="dxa" w:w="4536"/>
          </w:tcPr>
          <w:p>
            <w:r>
              <w:rPr>
                <w:rFonts w:ascii="Times New Roman" w:hAnsi="Times New Roman"/>
                <w:sz w:val="20"/>
              </w:rPr>
              <w:t>Mindest-Vorschuss bei Klageeinreichung (mind. 3-fach)</w:t>
            </w:r>
          </w:p>
        </w:tc>
        <w:tc>
          <w:tcPr>
            <w:tcW w:type="dxa" w:w="4536"/>
          </w:tcPr>
          <w:p>
            <w:r>
              <w:rPr>
                <w:rFonts w:ascii="Times New Roman" w:hAnsi="Times New Roman"/>
                <w:sz w:val="20"/>
              </w:rPr>
              <w:t>ca. 10.500 EUR</w:t>
            </w:r>
          </w:p>
        </w:tc>
      </w:tr>
    </w:tbl>
    <w:p>
      <w:pPr>
        <w:pStyle w:val="Heading3"/>
      </w:pPr>
      <w:r>
        <w:rPr>
          <w:rFonts w:ascii="Times New Roman" w:hAnsi="Times New Roman"/>
        </w:rPr>
        <w:t>2.3 Kostenrisiko Prozessverlust</w:t>
      </w:r>
    </w:p>
    <w:p>
      <w:pPr>
        <w:jc w:val="left"/>
      </w:pPr>
      <w:r>
        <w:t>Im Falle eines vollständigen Unterliegens vor dem LG Mainz trüge die Mandantin:</w:t>
      </w:r>
    </w:p>
    <w:p>
      <w:pPr>
        <w:pStyle w:val="ListBullet"/>
      </w:pPr>
      <w:r>
        <w:t>Eigene Anwaltskosten: ca. 14.000–16.000 EUR</w:t>
      </w:r>
    </w:p>
    <w:p>
      <w:pPr>
        <w:pStyle w:val="ListBullet"/>
      </w:pPr>
      <w:r>
        <w:t>Gerichtskosten: ca. 10.500 EUR</w:t>
      </w:r>
    </w:p>
    <w:p>
      <w:pPr>
        <w:pStyle w:val="ListBullet"/>
      </w:pPr>
      <w:r>
        <w:t>Anwaltskosten der Gegenseite (ProcessSpark): ca. 14.000–16.000 EUR</w:t>
      </w:r>
    </w:p>
    <w:p>
      <w:pPr>
        <w:jc w:val="left"/>
      </w:pPr>
      <w:r>
        <w:rPr>
          <w:b/>
        </w:rPr>
        <w:t>Gesamtrisiko im Unterliegensfall (1. Instanz):</w:t>
      </w:r>
      <w:r>
        <w:t xml:space="preserve"> ca. 38.500–42.500 EUR</w:t>
      </w:r>
    </w:p>
    <w:p>
      <w:pPr>
        <w:jc w:val="left"/>
      </w:pPr>
      <w:r>
        <w:rPr>
          <w:b/>
        </w:rPr>
        <w:t>Einschätzung:</w:t>
      </w:r>
      <w:r>
        <w:t xml:space="preserve"> Das Prozessrisiko ist angesichts der guten Beweislage überschaubar. Die Klageandrohung ist wirtschaftlich gerechtfertigt.</w:t>
      </w:r>
    </w:p>
    <w:p/>
    <w:p>
      <w:pPr>
        <w:pStyle w:val="Heading2"/>
      </w:pPr>
      <w:r>
        <w:rPr>
          <w:rFonts w:ascii="Times New Roman" w:hAnsi="Times New Roman"/>
        </w:rPr>
        <w:t>3. DSGVO-Bußgeld — Schätzung</w:t>
      </w:r>
    </w:p>
    <w:p>
      <w:pPr>
        <w:pStyle w:val="Heading3"/>
      </w:pPr>
      <w:r>
        <w:rPr>
          <w:rFonts w:ascii="Times New Roman" w:hAnsi="Times New Roman"/>
        </w:rPr>
        <w:t>3.1 Bußgeldrahmen (Art. 83 DSGVO)</w:t>
      </w:r>
    </w:p>
    <w:p>
      <w:pPr>
        <w:pStyle w:val="ListBullet"/>
      </w:pPr>
      <w:r>
        <w:t>Art. 83 Abs. 3 DSGVO: Verstoß gegen Art. 32 DSGVO (unzureichende TOMs) → max. 10 Mio. EUR oder 2 % des weltweiten Jahresumsatzes (Frischetrans: 38 Mio. EUR × 2 % = 760.000 EUR)</w:t>
      </w:r>
    </w:p>
    <w:p>
      <w:pPr>
        <w:pStyle w:val="Heading3"/>
      </w:pPr>
      <w:r>
        <w:rPr>
          <w:rFonts w:ascii="Times New Roman" w:hAnsi="Times New Roman"/>
        </w:rPr>
        <w:t>3.2 Bußgeldbemessung (Art. 83 Abs. 2 DSGVO — Zumessungskriterien)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Faktor</w:t>
            </w:r>
          </w:p>
        </w:tc>
        <w:tc>
          <w:tcPr>
            <w:tcW w:type="dxa" w:w="3024"/>
          </w:tcPr>
          <w:p>
            <w:r>
              <w:rPr>
                <w:rFonts w:ascii="Times New Roman" w:hAnsi="Times New Roman"/>
                <w:b/>
                <w:sz w:val="20"/>
              </w:rPr>
              <w:t>Bewertung</w:t>
            </w:r>
          </w:p>
        </w:tc>
        <w:tc>
          <w:tcPr>
            <w:tcW w:type="dxa" w:w="3024"/>
          </w:tcPr>
          <w:p>
            <w:r>
              <w:rPr>
                <w:rFonts w:ascii="Times New Roman" w:hAnsi="Times New Roman"/>
                <w:b/>
                <w:sz w:val="20"/>
              </w:rPr>
              <w:t>Einfluss auf Bußgeld</w:t>
            </w:r>
          </w:p>
        </w:tc>
      </w:tr>
      <w:tr>
        <w:tc>
          <w:tcPr>
            <w:tcW w:type="dxa" w:w="3024"/>
          </w:tcPr>
          <w:p>
            <w:r>
              <w:rPr>
                <w:rFonts w:ascii="Times New Roman" w:hAnsi="Times New Roman"/>
                <w:sz w:val="20"/>
              </w:rPr>
              <w:t>Art und Schwere des Verstoßes</w:t>
            </w:r>
          </w:p>
        </w:tc>
        <w:tc>
          <w:tcPr>
            <w:tcW w:type="dxa" w:w="3024"/>
          </w:tcPr>
          <w:p>
            <w:r>
              <w:rPr>
                <w:rFonts w:ascii="Times New Roman" w:hAnsi="Times New Roman"/>
                <w:sz w:val="20"/>
              </w:rPr>
              <w:t>Gesundheitsdaten betroffen, hohe Schwere</w:t>
            </w:r>
          </w:p>
        </w:tc>
        <w:tc>
          <w:tcPr>
            <w:tcW w:type="dxa" w:w="3024"/>
          </w:tcPr>
          <w:p>
            <w:r>
              <w:rPr>
                <w:rFonts w:ascii="Times New Roman" w:hAnsi="Times New Roman"/>
                <w:sz w:val="20"/>
              </w:rPr>
              <w:t>Erhöhend</w:t>
            </w:r>
          </w:p>
        </w:tc>
      </w:tr>
      <w:tr>
        <w:tc>
          <w:tcPr>
            <w:tcW w:type="dxa" w:w="3024"/>
          </w:tcPr>
          <w:p>
            <w:r>
              <w:rPr>
                <w:rFonts w:ascii="Times New Roman" w:hAnsi="Times New Roman"/>
                <w:sz w:val="20"/>
              </w:rPr>
              <w:t>Fahrlässigkeit</w:t>
            </w:r>
          </w:p>
        </w:tc>
        <w:tc>
          <w:tcPr>
            <w:tcW w:type="dxa" w:w="3024"/>
          </w:tcPr>
          <w:p>
            <w:r>
              <w:rPr>
                <w:rFonts w:ascii="Times New Roman" w:hAnsi="Times New Roman"/>
                <w:sz w:val="20"/>
              </w:rPr>
              <w:t>Eher mittelbar (durch ProcessSpark verursacht)</w:t>
            </w:r>
          </w:p>
        </w:tc>
        <w:tc>
          <w:tcPr>
            <w:tcW w:type="dxa" w:w="3024"/>
          </w:tcPr>
          <w:p>
            <w:r>
              <w:rPr>
                <w:rFonts w:ascii="Times New Roman" w:hAnsi="Times New Roman"/>
                <w:sz w:val="20"/>
              </w:rPr>
              <w:t>Mildernd</w:t>
            </w:r>
          </w:p>
        </w:tc>
      </w:tr>
      <w:tr>
        <w:tc>
          <w:tcPr>
            <w:tcW w:type="dxa" w:w="3024"/>
          </w:tcPr>
          <w:p>
            <w:r>
              <w:rPr>
                <w:rFonts w:ascii="Times New Roman" w:hAnsi="Times New Roman"/>
                <w:sz w:val="20"/>
              </w:rPr>
              <w:t>Schadensbegrenzungsmaßnahmen</w:t>
            </w:r>
          </w:p>
        </w:tc>
        <w:tc>
          <w:tcPr>
            <w:tcW w:type="dxa" w:w="3024"/>
          </w:tcPr>
          <w:p>
            <w:r>
              <w:rPr>
                <w:rFonts w:ascii="Times New Roman" w:hAnsi="Times New Roman"/>
                <w:sz w:val="20"/>
              </w:rPr>
              <w:t>Sofortige Reaktion, vollständige Kooperation</w:t>
            </w:r>
          </w:p>
        </w:tc>
        <w:tc>
          <w:tcPr>
            <w:tcW w:type="dxa" w:w="3024"/>
          </w:tcPr>
          <w:p>
            <w:r>
              <w:rPr>
                <w:rFonts w:ascii="Times New Roman" w:hAnsi="Times New Roman"/>
                <w:sz w:val="20"/>
              </w:rPr>
              <w:t>Stark mildernd</w:t>
            </w:r>
          </w:p>
        </w:tc>
      </w:tr>
      <w:tr>
        <w:tc>
          <w:tcPr>
            <w:tcW w:type="dxa" w:w="3024"/>
          </w:tcPr>
          <w:p>
            <w:r>
              <w:rPr>
                <w:rFonts w:ascii="Times New Roman" w:hAnsi="Times New Roman"/>
                <w:sz w:val="20"/>
              </w:rPr>
              <w:t>Kooperationsbereitschaft mit LfDI</w:t>
            </w:r>
          </w:p>
        </w:tc>
        <w:tc>
          <w:tcPr>
            <w:tcW w:type="dxa" w:w="3024"/>
          </w:tcPr>
          <w:p>
            <w:r>
              <w:rPr>
                <w:rFonts w:ascii="Times New Roman" w:hAnsi="Times New Roman"/>
                <w:sz w:val="20"/>
              </w:rPr>
              <w:t>Hoch (fristgerechte Meldung, DSFA eingeleitet)</w:t>
            </w:r>
          </w:p>
        </w:tc>
        <w:tc>
          <w:tcPr>
            <w:tcW w:type="dxa" w:w="3024"/>
          </w:tcPr>
          <w:p>
            <w:r>
              <w:rPr>
                <w:rFonts w:ascii="Times New Roman" w:hAnsi="Times New Roman"/>
                <w:sz w:val="20"/>
              </w:rPr>
              <w:t>Stark mildernd</w:t>
            </w:r>
          </w:p>
        </w:tc>
      </w:tr>
      <w:tr>
        <w:tc>
          <w:tcPr>
            <w:tcW w:type="dxa" w:w="3024"/>
          </w:tcPr>
          <w:p>
            <w:r>
              <w:rPr>
                <w:rFonts w:ascii="Times New Roman" w:hAnsi="Times New Roman"/>
                <w:sz w:val="20"/>
              </w:rPr>
              <w:t>Vorherige Verstöße</w:t>
            </w:r>
          </w:p>
        </w:tc>
        <w:tc>
          <w:tcPr>
            <w:tcW w:type="dxa" w:w="3024"/>
          </w:tcPr>
          <w:p>
            <w:r>
              <w:rPr>
                <w:rFonts w:ascii="Times New Roman" w:hAnsi="Times New Roman"/>
                <w:sz w:val="20"/>
              </w:rPr>
              <w:t>Keine</w:t>
            </w:r>
          </w:p>
        </w:tc>
        <w:tc>
          <w:tcPr>
            <w:tcW w:type="dxa" w:w="3024"/>
          </w:tcPr>
          <w:p>
            <w:r>
              <w:rPr>
                <w:rFonts w:ascii="Times New Roman" w:hAnsi="Times New Roman"/>
                <w:sz w:val="20"/>
              </w:rPr>
              <w:t>Mildernd</w:t>
            </w:r>
          </w:p>
        </w:tc>
      </w:tr>
      <w:tr>
        <w:tc>
          <w:tcPr>
            <w:tcW w:type="dxa" w:w="3024"/>
          </w:tcPr>
          <w:p>
            <w:r>
              <w:rPr>
                <w:rFonts w:ascii="Times New Roman" w:hAnsi="Times New Roman"/>
                <w:sz w:val="20"/>
              </w:rPr>
              <w:t>Kategorien betroffener Daten</w:t>
            </w:r>
          </w:p>
        </w:tc>
        <w:tc>
          <w:tcPr>
            <w:tcW w:type="dxa" w:w="3024"/>
          </w:tcPr>
          <w:p>
            <w:r>
              <w:rPr>
                <w:rFonts w:ascii="Times New Roman" w:hAnsi="Times New Roman"/>
                <w:sz w:val="20"/>
              </w:rPr>
              <w:t>Gesundheitsdaten (Art. 9)</w:t>
            </w:r>
          </w:p>
        </w:tc>
        <w:tc>
          <w:tcPr>
            <w:tcW w:type="dxa" w:w="3024"/>
          </w:tcPr>
          <w:p>
            <w:r>
              <w:rPr>
                <w:rFonts w:ascii="Times New Roman" w:hAnsi="Times New Roman"/>
                <w:sz w:val="20"/>
              </w:rPr>
              <w:t>Erhöhend</w:t>
            </w:r>
          </w:p>
        </w:tc>
      </w:tr>
      <w:tr>
        <w:tc>
          <w:tcPr>
            <w:tcW w:type="dxa" w:w="3024"/>
          </w:tcPr>
          <w:p>
            <w:r>
              <w:rPr>
                <w:rFonts w:ascii="Times New Roman" w:hAnsi="Times New Roman"/>
                <w:sz w:val="20"/>
              </w:rPr>
              <w:t>Anzahl betroffener Personen</w:t>
            </w:r>
          </w:p>
        </w:tc>
        <w:tc>
          <w:tcPr>
            <w:tcW w:type="dxa" w:w="3024"/>
          </w:tcPr>
          <w:p>
            <w:r>
              <w:rPr>
                <w:rFonts w:ascii="Times New Roman" w:hAnsi="Times New Roman"/>
                <w:sz w:val="20"/>
              </w:rPr>
              <w:t>298 Personen</w:t>
            </w:r>
          </w:p>
        </w:tc>
        <w:tc>
          <w:tcPr>
            <w:tcW w:type="dxa" w:w="3024"/>
          </w:tcPr>
          <w:p>
            <w:r>
              <w:rPr>
                <w:rFonts w:ascii="Times New Roman" w:hAnsi="Times New Roman"/>
                <w:sz w:val="20"/>
              </w:rPr>
              <w:t>Erhöhend</w:t>
            </w:r>
          </w:p>
        </w:tc>
      </w:tr>
      <w:tr>
        <w:tc>
          <w:tcPr>
            <w:tcW w:type="dxa" w:w="3024"/>
          </w:tcPr>
          <w:p>
            <w:r>
              <w:rPr>
                <w:rFonts w:ascii="Times New Roman" w:hAnsi="Times New Roman"/>
                <w:sz w:val="20"/>
              </w:rPr>
              <w:t>Unternehmensgröße</w:t>
            </w:r>
          </w:p>
        </w:tc>
        <w:tc>
          <w:tcPr>
            <w:tcW w:type="dxa" w:w="3024"/>
          </w:tcPr>
          <w:p>
            <w:r>
              <w:rPr>
                <w:rFonts w:ascii="Times New Roman" w:hAnsi="Times New Roman"/>
                <w:sz w:val="20"/>
              </w:rPr>
              <w:t>KMU (280 MA)</w:t>
            </w:r>
          </w:p>
        </w:tc>
        <w:tc>
          <w:tcPr>
            <w:tcW w:type="dxa" w:w="3024"/>
          </w:tcPr>
          <w:p>
            <w:r>
              <w:rPr>
                <w:rFonts w:ascii="Times New Roman" w:hAnsi="Times New Roman"/>
                <w:sz w:val="20"/>
              </w:rPr>
              <w:t>Mildernd</w:t>
            </w:r>
          </w:p>
        </w:tc>
      </w:tr>
    </w:tbl>
    <w:p>
      <w:pPr>
        <w:jc w:val="left"/>
      </w:pPr>
      <w:r>
        <w:rPr>
          <w:b/>
        </w:rPr>
        <w:t>Schätzung Bußgeld:</w:t>
      </w:r>
      <w:r>
        <w:t xml:space="preserve"> 30.000–200.000 EUR</w:t>
      </w:r>
    </w:p>
    <w:p/>
    <w:p>
      <w:pPr>
        <w:pStyle w:val="Heading2"/>
      </w:pPr>
      <w:r>
        <w:rPr>
          <w:rFonts w:ascii="Times New Roman" w:hAnsi="Times New Roman"/>
        </w:rPr>
        <w:t>4. Gesamtkostenplanung (Liquiditätsbedarf Mandantin)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Ausgabeblock</w:t>
            </w:r>
          </w:p>
        </w:tc>
        <w:tc>
          <w:tcPr>
            <w:tcW w:type="dxa" w:w="3024"/>
          </w:tcPr>
          <w:p>
            <w:r>
              <w:rPr>
                <w:rFonts w:ascii="Times New Roman" w:hAnsi="Times New Roman"/>
                <w:b/>
                <w:sz w:val="20"/>
              </w:rPr>
              <w:t>Zeitraum</w:t>
            </w:r>
          </w:p>
        </w:tc>
        <w:tc>
          <w:tcPr>
            <w:tcW w:type="dxa" w:w="3024"/>
          </w:tcPr>
          <w:p>
            <w:r>
              <w:rPr>
                <w:rFonts w:ascii="Times New Roman" w:hAnsi="Times New Roman"/>
                <w:b/>
                <w:sz w:val="20"/>
              </w:rPr>
              <w:t>Betrag</w:t>
            </w:r>
          </w:p>
        </w:tc>
      </w:tr>
      <w:tr>
        <w:tc>
          <w:tcPr>
            <w:tcW w:type="dxa" w:w="3024"/>
          </w:tcPr>
          <w:p>
            <w:r>
              <w:rPr>
                <w:rFonts w:ascii="Times New Roman" w:hAnsi="Times New Roman"/>
                <w:sz w:val="20"/>
              </w:rPr>
              <w:t>Sofortkosten (Forensik, IT-Notfall)</w:t>
            </w:r>
          </w:p>
        </w:tc>
        <w:tc>
          <w:tcPr>
            <w:tcW w:type="dxa" w:w="3024"/>
          </w:tcPr>
          <w:p>
            <w:r>
              <w:rPr>
                <w:rFonts w:ascii="Times New Roman" w:hAnsi="Times New Roman"/>
                <w:sz w:val="20"/>
              </w:rPr>
              <w:t>Mai 2026</w:t>
            </w:r>
          </w:p>
        </w:tc>
        <w:tc>
          <w:tcPr>
            <w:tcW w:type="dxa" w:w="3024"/>
          </w:tcPr>
          <w:p>
            <w:r>
              <w:rPr>
                <w:rFonts w:ascii="Times New Roman" w:hAnsi="Times New Roman"/>
                <w:sz w:val="20"/>
              </w:rPr>
              <w:t>220.000 EUR</w:t>
            </w:r>
          </w:p>
        </w:tc>
      </w:tr>
      <w:tr>
        <w:tc>
          <w:tcPr>
            <w:tcW w:type="dxa" w:w="3024"/>
          </w:tcPr>
          <w:p>
            <w:r>
              <w:rPr>
                <w:rFonts w:ascii="Times New Roman" w:hAnsi="Times New Roman"/>
                <w:sz w:val="20"/>
              </w:rPr>
              <w:t>Anwaltskosten lfd. Mandat</w:t>
            </w:r>
          </w:p>
        </w:tc>
        <w:tc>
          <w:tcPr>
            <w:tcW w:type="dxa" w:w="3024"/>
          </w:tcPr>
          <w:p>
            <w:r>
              <w:rPr>
                <w:rFonts w:ascii="Times New Roman" w:hAnsi="Times New Roman"/>
                <w:sz w:val="20"/>
              </w:rPr>
              <w:t>Mai–Aug. 2026</w:t>
            </w:r>
          </w:p>
        </w:tc>
        <w:tc>
          <w:tcPr>
            <w:tcW w:type="dxa" w:w="3024"/>
          </w:tcPr>
          <w:p>
            <w:r>
              <w:rPr>
                <w:rFonts w:ascii="Times New Roman" w:hAnsi="Times New Roman"/>
                <w:sz w:val="20"/>
              </w:rPr>
              <w:t>80.000 EUR</w:t>
            </w:r>
          </w:p>
        </w:tc>
      </w:tr>
      <w:tr>
        <w:tc>
          <w:tcPr>
            <w:tcW w:type="dxa" w:w="3024"/>
          </w:tcPr>
          <w:p>
            <w:r>
              <w:rPr>
                <w:rFonts w:ascii="Times New Roman" w:hAnsi="Times New Roman"/>
                <w:sz w:val="20"/>
              </w:rPr>
              <w:t>IT-Wiederherstellung (vollständig)</w:t>
            </w:r>
          </w:p>
        </w:tc>
        <w:tc>
          <w:tcPr>
            <w:tcW w:type="dxa" w:w="3024"/>
          </w:tcPr>
          <w:p>
            <w:r>
              <w:rPr>
                <w:rFonts w:ascii="Times New Roman" w:hAnsi="Times New Roman"/>
                <w:sz w:val="20"/>
              </w:rPr>
              <w:t>Mai–Juni 2026</w:t>
            </w:r>
          </w:p>
        </w:tc>
        <w:tc>
          <w:tcPr>
            <w:tcW w:type="dxa" w:w="3024"/>
          </w:tcPr>
          <w:p>
            <w:r>
              <w:rPr>
                <w:rFonts w:ascii="Times New Roman" w:hAnsi="Times New Roman"/>
                <w:sz w:val="20"/>
              </w:rPr>
              <w:t>210.000 EUR</w:t>
            </w:r>
          </w:p>
        </w:tc>
      </w:tr>
      <w:tr>
        <w:tc>
          <w:tcPr>
            <w:tcW w:type="dxa" w:w="3024"/>
          </w:tcPr>
          <w:p>
            <w:r>
              <w:rPr>
                <w:rFonts w:ascii="Times New Roman" w:hAnsi="Times New Roman"/>
                <w:sz w:val="20"/>
              </w:rPr>
              <w:t>DSGVO-Compliance-Maßnahmen</w:t>
            </w:r>
          </w:p>
        </w:tc>
        <w:tc>
          <w:tcPr>
            <w:tcW w:type="dxa" w:w="3024"/>
          </w:tcPr>
          <w:p>
            <w:r>
              <w:rPr>
                <w:rFonts w:ascii="Times New Roman" w:hAnsi="Times New Roman"/>
                <w:sz w:val="20"/>
              </w:rPr>
              <w:t>Mai–Aug. 2026</w:t>
            </w:r>
          </w:p>
        </w:tc>
        <w:tc>
          <w:tcPr>
            <w:tcW w:type="dxa" w:w="3024"/>
          </w:tcPr>
          <w:p>
            <w:r>
              <w:rPr>
                <w:rFonts w:ascii="Times New Roman" w:hAnsi="Times New Roman"/>
                <w:sz w:val="20"/>
              </w:rPr>
              <w:t>45.000 EUR</w:t>
            </w:r>
          </w:p>
        </w:tc>
      </w:tr>
      <w:tr>
        <w:tc>
          <w:tcPr>
            <w:tcW w:type="dxa" w:w="3024"/>
          </w:tcPr>
          <w:p>
            <w:r>
              <w:rPr>
                <w:rFonts w:ascii="Times New Roman" w:hAnsi="Times New Roman"/>
                <w:sz w:val="20"/>
              </w:rPr>
              <w:t>KI-VO-Compliance (PalettenAuge)</w:t>
            </w:r>
          </w:p>
        </w:tc>
        <w:tc>
          <w:tcPr>
            <w:tcW w:type="dxa" w:w="3024"/>
          </w:tcPr>
          <w:p>
            <w:r>
              <w:rPr>
                <w:rFonts w:ascii="Times New Roman" w:hAnsi="Times New Roman"/>
                <w:sz w:val="20"/>
              </w:rPr>
              <w:t>Juni–Aug. 2026</w:t>
            </w:r>
          </w:p>
        </w:tc>
        <w:tc>
          <w:tcPr>
            <w:tcW w:type="dxa" w:w="3024"/>
          </w:tcPr>
          <w:p>
            <w:r>
              <w:rPr>
                <w:rFonts w:ascii="Times New Roman" w:hAnsi="Times New Roman"/>
                <w:sz w:val="20"/>
              </w:rPr>
              <w:t>30.000 EUR</w:t>
            </w:r>
          </w:p>
        </w:tc>
      </w:tr>
      <w:tr>
        <w:tc>
          <w:tcPr>
            <w:tcW w:type="dxa" w:w="3024"/>
          </w:tcPr>
          <w:p>
            <w:r>
              <w:rPr>
                <w:rFonts w:ascii="Times New Roman" w:hAnsi="Times New Roman"/>
                <w:sz w:val="20"/>
              </w:rPr>
              <w:t>Open-Source-Compliance</w:t>
            </w:r>
          </w:p>
        </w:tc>
        <w:tc>
          <w:tcPr>
            <w:tcW w:type="dxa" w:w="3024"/>
          </w:tcPr>
          <w:p>
            <w:r>
              <w:rPr>
                <w:rFonts w:ascii="Times New Roman" w:hAnsi="Times New Roman"/>
                <w:sz w:val="20"/>
              </w:rPr>
              <w:t>Mai–Juni 2026</w:t>
            </w:r>
          </w:p>
        </w:tc>
        <w:tc>
          <w:tcPr>
            <w:tcW w:type="dxa" w:w="3024"/>
          </w:tcPr>
          <w:p>
            <w:r>
              <w:rPr>
                <w:rFonts w:ascii="Times New Roman" w:hAnsi="Times New Roman"/>
                <w:sz w:val="20"/>
              </w:rPr>
              <w:t>10.000 EUR</w:t>
            </w:r>
          </w:p>
        </w:tc>
      </w:tr>
      <w:tr>
        <w:tc>
          <w:tcPr>
            <w:tcW w:type="dxa" w:w="3024"/>
          </w:tcPr>
          <w:p>
            <w:r>
              <w:rPr>
                <w:rFonts w:ascii="Times New Roman" w:hAnsi="Times New Roman"/>
                <w:sz w:val="20"/>
              </w:rPr>
              <w:t>PR/Krisenkommunikation</w:t>
            </w:r>
          </w:p>
        </w:tc>
        <w:tc>
          <w:tcPr>
            <w:tcW w:type="dxa" w:w="3024"/>
          </w:tcPr>
          <w:p>
            <w:r>
              <w:rPr>
                <w:rFonts w:ascii="Times New Roman" w:hAnsi="Times New Roman"/>
                <w:sz w:val="20"/>
              </w:rPr>
              <w:t>Mai 2026</w:t>
            </w:r>
          </w:p>
        </w:tc>
        <w:tc>
          <w:tcPr>
            <w:tcW w:type="dxa" w:w="3024"/>
          </w:tcPr>
          <w:p>
            <w:r>
              <w:rPr>
                <w:rFonts w:ascii="Times New Roman" w:hAnsi="Times New Roman"/>
                <w:sz w:val="20"/>
              </w:rPr>
              <w:t>15.000 EUR</w:t>
            </w:r>
          </w:p>
        </w:tc>
      </w:tr>
      <w:tr>
        <w:tc>
          <w:tcPr>
            <w:tcW w:type="dxa" w:w="3024"/>
          </w:tcPr>
          <w:p>
            <w:r>
              <w:rPr>
                <w:rFonts w:ascii="Times New Roman" w:hAnsi="Times New Roman"/>
                <w:sz w:val="20"/>
              </w:rPr>
              <w:t>Selbstbehalt Versicherung</w:t>
            </w:r>
          </w:p>
        </w:tc>
        <w:tc>
          <w:tcPr>
            <w:tcW w:type="dxa" w:w="3024"/>
          </w:tcPr>
          <w:p>
            <w:r>
              <w:rPr>
                <w:rFonts w:ascii="Times New Roman" w:hAnsi="Times New Roman"/>
                <w:sz w:val="20"/>
              </w:rPr>
              <w:t>sofort</w:t>
            </w:r>
          </w:p>
        </w:tc>
        <w:tc>
          <w:tcPr>
            <w:tcW w:type="dxa" w:w="3024"/>
          </w:tcPr>
          <w:p>
            <w:r>
              <w:rPr>
                <w:rFonts w:ascii="Times New Roman" w:hAnsi="Times New Roman"/>
                <w:sz w:val="20"/>
              </w:rPr>
              <w:t>25.000 EUR</w:t>
            </w:r>
          </w:p>
        </w:tc>
      </w:tr>
      <w:tr>
        <w:tc>
          <w:tcPr>
            <w:tcW w:type="dxa" w:w="3024"/>
          </w:tcPr>
          <w:p>
            <w:r>
              <w:rPr>
                <w:rFonts w:ascii="Times New Roman" w:hAnsi="Times New Roman"/>
                <w:b/>
                <w:sz w:val="20"/>
              </w:rPr>
              <w:t>Gesamtliquiditätsbedarf (Eigenmittel, vor Versicherungsleistung)</w:t>
            </w:r>
          </w:p>
        </w:tc>
        <w:tc>
          <w:tcPr>
            <w:tcW w:type="dxa" w:w="3024"/>
          </w:tcPr>
          <w:p/>
        </w:tc>
        <w:tc>
          <w:tcPr>
            <w:tcW w:type="dxa" w:w="3024"/>
          </w:tcPr>
          <w:p>
            <w:r>
              <w:rPr>
                <w:rFonts w:ascii="Times New Roman" w:hAnsi="Times New Roman"/>
                <w:b/>
                <w:sz w:val="20"/>
              </w:rPr>
              <w:t>635.000 EUR</w:t>
            </w:r>
          </w:p>
        </w:tc>
      </w:tr>
    </w:tbl>
    <w:p>
      <w:pPr>
        <w:jc w:val="left"/>
      </w:pPr>
      <w:r>
        <w:rPr>
          <w:b/>
        </w:rPr>
        <w:t>Erwartete Versicherungsleistung (CyberCovered AG):</w:t>
      </w:r>
      <w:r>
        <w:t xml:space="preserve"> ca. 450.000–700.000 EUR</w:t>
      </w:r>
    </w:p>
    <w:p>
      <w:pPr>
        <w:jc w:val="left"/>
      </w:pPr>
      <w:r>
        <w:rPr>
          <w:b/>
        </w:rPr>
        <w:t>Erwarteter Schadensersatz ProcessSpark (nach Einigung/Klage):</w:t>
      </w:r>
      <w:r>
        <w:t xml:space="preserve"> ca. 400.000–600.000 EUR</w:t>
      </w:r>
    </w:p>
    <w:p>
      <w:pPr>
        <w:jc w:val="left"/>
      </w:pPr>
      <w:r>
        <w:rPr>
          <w:b/>
        </w:rPr>
        <w:t>Netto-Belastung Frischetrans (Schätzung):</w:t>
      </w:r>
      <w:r>
        <w:t xml:space="preserve"> ca. 0–200.000 EUR (sofern Versicherung und Regressansprüche planmäßig funktionieren)</w:t>
      </w:r>
    </w:p>
    <w:p/>
    <w:p>
      <w:pPr>
        <w:pStyle w:val="Heading2"/>
      </w:pPr>
      <w:r>
        <w:rPr>
          <w:rFonts w:ascii="Times New Roman" w:hAnsi="Times New Roman"/>
        </w:rPr>
        <w:t>5. Empfehlung zur Liquiditätssicherung</w:t>
      </w:r>
    </w:p>
    <w:p>
      <w:pPr>
        <w:jc w:val="left"/>
      </w:pPr>
      <w:r>
        <w:t>RA Drosten empfiehlt der Mandantin, mit ihrer Hausbank (Sparkasse Mainz) eine Kreditlinie von mindestens 500.000 EUR für die Dauer des Krisenmanagements zu vereinbaren, um Liquiditätsengpässe zu überbrücken, bis Versicherungsleistungen und Schadensersatz fließen.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Frischetrans Mittelrhein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Frischetrans Mittelrhein GmbH</w:t>
    </w:r>
  </w:p>
  <w:p>
    <w:pPr>
      <w:jc w:val="left"/>
      <w:pBdr>
        <w:bottom w:val="single" w:sz="6" w:space="2" w:color="11555F"/>
      </w:pBdr>
    </w:pPr>
    <w:r>
      <w:rPr>
        <w:rFonts w:ascii="Times New Roman" w:hAnsi="Times New Roman"/>
        <w:color w:val="6B6B66"/>
        <w:sz w:val="16"/>
      </w:rPr>
      <w:t>Unternehmen · 3 O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