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KANZLEI DROSTEN &amp; PEKONKUR</w:t>
      </w:r>
    </w:p>
    <w:p>
      <w:pPr>
        <w:spacing w:after="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Rechtsanwälte und Fachanwälte · Schillerstraße 14 · 55116 Mainz</w:t>
      </w:r>
    </w:p>
    <w:p>
      <w:pP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Tel. +49 6131 2240-0 · Fax +49 6131 2240-99 · l.drosten@drosten-pekonkur.de</w:t>
      </w:r>
    </w:p>
    <w:p>
      <w:pPr>
        <w:spacing w:after="16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Per Einschreiben mit Rückschein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ProcessSpark Cloud AG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— Rechtsabteilung / Vorstand —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Leopoldstraße 88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80802 München</w:t>
      </w:r>
    </w:p>
    <w:p>
      <w:pPr>
        <w:spacing w:after="160"/>
      </w:pPr>
    </w:p>
    <w:p>
      <w:pPr>
        <w:spacing w:after="200"/>
        <w:jc w:val="right"/>
      </w:pPr>
      <w:r>
        <w:rPr>
          <w:rFonts w:ascii="Arial" w:cs="Arial" w:eastAsia="Arial" w:hAnsi="Arial"/>
          <w:sz w:val="22"/>
          <w:szCs w:val="22"/>
        </w:rPr>
        <w:t xml:space="preserve">Mainz, den 12.05.2026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Schadensersatz und Vertragsstrafe — IT-Betriebsvertrag 15.03.2021 / Nachtrag 3 — Ransomware-Schaden durch Patchpflichtverletzung CVE-2026-0712</w:t>
      </w:r>
    </w:p>
    <w:p>
      <w:pPr>
        <w:spacing w:after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Unsere Mandantin: Frischetrans Mittelrhein GmbH, Binger Straße 142, 55131 Mainz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Sehr geehrte Damen und Herren,</w:t>
      </w:r>
    </w:p>
    <w:p>
      <w:pPr>
        <w:spacing w:after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wir sind anwaltliche Bevollmächtigte der Frischetrans Mittelrhein GmbH. Vollmacht liegt bei. Wir wenden uns an Sie wegen schwerwiegender Pflichtverletzungen aus dem zwischen den Parteien bestehenden IT-Betriebsvertrag vom 15.03.2021 (Nachtrag 3 vom 01.07.2024), die zu einem erheblichen Schaden für unsere Mandantin geführt haben.</w:t>
      </w:r>
    </w:p>
    <w:p>
      <w:pPr>
        <w:pStyle w:val="Heading2"/>
        <w:pBdr>
          <w:bottom w:color="1B3A5C" w:sz="6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I. Sachverhalt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Unsere Mandantin wurde in der Nacht vom 05. auf den 06.05.2026 Opfer eines schwerwiegenden Ransomware-Angriffs der kriminellen Gruppe „AkiraNext". Das ERP-System (SAP S/4HANA), Fileserver und Telematik-Schnittstellen wurden vollständig verschlüsselt und ca. 2,1 TB Daten exfiltriert.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Die forensische Untersuchung (CyberForensik RheinMain GmbH, Bericht-ID CRM-2026-FT-01) hat ergeben, dass der Angriffsvektor die Sicherheitslücke CVE-2026-0712 (SAP NetWeaver AS ABAP, CVSS 9.8 Critical) war. SAP SE stellte den Patch am 18.02.2026 bereit.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Ihre Gesellschaft spielte diesen Patch erst in der Nacht vom 28. auf den 29.04.2026 ein — 69 Tage nach Bereitstellung und 55 Tage nach Ablauf der vertraglichen 14-Tage-Frist für Critical-Patches (§ 12 Abs. 2 Nachtrag 3).</w:t>
      </w:r>
    </w:p>
    <w:p>
      <w:pPr>
        <w:pStyle w:val="Heading2"/>
        <w:pBdr>
          <w:bottom w:color="1B3A5C" w:sz="6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II. Pflichtverletzungen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Verletzung der Patchpflicht (§ 12 Abs. 2 Nachtrag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Patch-Veröffentlichung SAP SE:</w:t>
            </w:r>
          </w:p>
        </w:tc>
        <w:tc>
          <w:tcPr>
            <w:tcW w:type="pct" w:w="6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18.02.2026</w:t>
            </w:r>
          </w:p>
        </w:tc>
      </w:tr>
      <w:tr>
        <w:tc>
          <w:tcPr>
            <w:tcW w:type="pct" w:w="40%"/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CVSS-Score:</w:t>
            </w:r>
          </w:p>
        </w:tc>
        <w:tc>
          <w:tcPr>
            <w:tcW w:type="pct" w:w="6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 (Critical)</w:t>
            </w:r>
          </w:p>
        </w:tc>
      </w:tr>
      <w:tr>
        <w:tc>
          <w:tcPr>
            <w:tcW w:type="pct" w:w="40%"/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Vertragliche Frist (14 Tage):</w:t>
            </w:r>
          </w:p>
        </w:tc>
        <w:tc>
          <w:tcPr>
            <w:tcW w:type="pct" w:w="6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04.03.2026</w:t>
            </w:r>
          </w:p>
        </w:tc>
      </w:tr>
      <w:tr>
        <w:tc>
          <w:tcPr>
            <w:tcW w:type="pct" w:w="40%"/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Tatsächliche Einspielung:</w:t>
            </w:r>
          </w:p>
        </w:tc>
        <w:tc>
          <w:tcPr>
            <w:tcW w:type="pct" w:w="6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28./29.04.2026</w:t>
            </w:r>
          </w:p>
        </w:tc>
      </w:tr>
      <w:tr>
        <w:tc>
          <w:tcPr>
            <w:tcW w:type="pct" w:w="40%"/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Verzug:</w:t>
            </w:r>
          </w:p>
        </w:tc>
        <w:tc>
          <w:tcPr>
            <w:tcW w:type="pct" w:w="6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Tage</w:t>
            </w:r>
          </w:p>
        </w:tc>
      </w:tr>
      <w:tr>
        <w:tc>
          <w:tcPr>
            <w:tcW w:type="pct" w:w="40%"/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Ausnahmegenehmigung beantragt:</w:t>
            </w:r>
          </w:p>
        </w:tc>
        <w:tc>
          <w:tcPr>
            <w:tcW w:type="pct" w:w="60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Nein</w:t>
            </w:r>
          </w:p>
        </w:tc>
      </w:tr>
    </w:tbl>
    <w:p>
      <w:pPr>
        <w:spacing w:after="8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Verletzung der Informationspflicht (§ 241 Abs. 2 BGB)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Ihre Gesellschaft hat unsere Mandantin zu keinem Zeitpunkt über die Schwachstelle, den Patch-Rückstand oder mögliche Schutzmaßnahmen informiert.</w:t>
      </w:r>
    </w:p>
    <w:p>
      <w:pPr>
        <w:pStyle w:val="Heading2"/>
        <w:pBdr>
          <w:bottom w:color="1B3A5C" w:sz="6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III. Schaden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IT-Wiederherstellungskosten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198.500,00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Betriebsausfall Logistik (7 Tage)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387.200,00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Forensikkosten (CyberForensik RheinMain GmbH)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52.800,00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Anwaltskosten (bisherig)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24.800,00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DSGVO-Folgekosten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18.000,00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Gesamtschaden (vorläufig)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681.300,00 EUR</w:t>
            </w:r>
          </w:p>
        </w:tc>
      </w:tr>
    </w:tbl>
    <w:p>
      <w:pPr>
        <w:pStyle w:val="Heading2"/>
        <w:pBdr>
          <w:bottom w:color="1B3A5C" w:sz="6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IV. Forderungen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Wir machen folgende Ansprüche geltend: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Vertragsstrafe (§ 14 Abs. 3 Vertrag, 7 × 0,5 % × 14.800 EUR)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518,00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Schadensersatz (§§ 280, 241 Abs. 2 BGB, vorläufig)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681.300,00 EUR</w:t>
            </w:r>
          </w:p>
        </w:tc>
      </w:tr>
      <w:tr>
        <w:tc>
          <w:tcPr>
            <w:tcW w:type="pct" w:w="65%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Gesamtforderung</w:t>
            </w:r>
          </w:p>
        </w:tc>
        <w:tc>
          <w:tcPr>
            <w:tcW w:type="pct" w:w="35%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681.818,00 EUR</w:t>
            </w:r>
          </w:p>
        </w:tc>
      </w:tr>
    </w:tbl>
    <w:p>
      <w:pPr>
        <w:pStyle w:val="Heading2"/>
        <w:pBdr>
          <w:bottom w:color="1B3A5C" w:sz="6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V. Frist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Wir fordern Sie auf, den Gesamtbetrag von EUR 681.818,00 bis spätestens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Montag, den 26.05.2026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auf das Konto unserer Mandantin zu überweisen sowie die angeforderten Patch-Logs (7-Tage-Frist bis 20.05.2026) vorzulegen. Bei fruchtlosem Fristablauf wird Klage am Landgericht Mainz erhoben (geplantes AZ: 3 O 88/26). Die außerordentliche Kündigung des Vertrages bleibt vorbehalten (§ 626 BGB).</w:t>
      </w:r>
    </w:p>
    <w:p>
      <w:pPr>
        <w:spacing w:after="40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Mit freundlichen Grüßen</w:t>
      </w:r>
    </w:p>
    <w:p>
      <w:pPr>
        <w:spacing w:after="20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 Lukas Drosten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Fachanwalt für IT-Recht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Kanzlei Drosten &amp; Pekonkur, Mainz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Anlage: Vollmacht der Frischetrans Mittelrhein GmbH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ProcessSpark Cloud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ProcessSpark Cloud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Klageandrohungsschreiben ProcessSpark Cloud AG</dc:title>
  <dc:creator>Un-named</dc:creator>
  <cp:lastModifiedBy>Un-named</cp:lastModifiedBy>
  <cp:revision>1</cp:revision>
  <dcterms:created xsi:type="dcterms:W3CDTF">2026-05-30T15:18:42.583Z</dcterms:created>
  <dcterms:modified xsi:type="dcterms:W3CDTF">2026-05-30T15:18:42.584Z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